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– Resultados GQM + PRAGMATIC</w:t>
      </w:r>
    </w:p>
    <w:p>
      <w:r>
        <w:t>Complemento del informe de madurez: ahora explicamos también la calidad de lo medido.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r>
        <w:t>Igual que antes, añadiendo:</w:t>
      </w:r>
    </w:p>
    <w:p>
      <w:pPr>
        <w:pStyle w:val="ListBullet"/>
        <w:keepLines w:val="1"/>
        <w:widowControl w:val="1"/>
      </w:pPr>
      <w:r>
        <w:t>“Incluye evaluación GQM + PRAGMATIC de las métricas de ciberseguridad”.</w:t>
      </w:r>
    </w:p>
    <w:p>
      <w:pPr>
        <w:pStyle w:val="Heading2"/>
        <w:keepNext/>
        <w:keepLines/>
      </w:pPr>
      <w:r>
        <w:rPr>
          <w:color w:val="0066CC"/>
        </w:rPr>
        <w:t>Diapositiva 2 – Resumen ejecutivo</w:t>
      </w:r>
    </w:p>
    <w:p>
      <w:pPr>
        <w:pStyle w:val="ListBullet"/>
        <w:keepLines w:val="1"/>
        <w:keepNext w:val="1"/>
        <w:widowControl w:val="1"/>
      </w:pPr>
      <w:r>
        <w:t xml:space="preserve">Nivel de madurez global (IGM).  </w:t>
      </w:r>
    </w:p>
    <w:p>
      <w:pPr>
        <w:pStyle w:val="ListBullet"/>
        <w:keepLines w:val="1"/>
        <w:keepNext w:val="1"/>
        <w:widowControl w:val="1"/>
      </w:pPr>
      <w:r>
        <w:t xml:space="preserve">Principales fortalezas y debilidades.  </w:t>
      </w:r>
    </w:p>
    <w:p>
      <w:pPr>
        <w:pStyle w:val="ListBullet"/>
        <w:keepLines w:val="1"/>
        <w:widowControl w:val="1"/>
      </w:pPr>
      <w:r>
        <w:t>Comentario sobre la calidad de las métricas: “X métricas cumplen criterios PRAGMATIC altos; cuadro de mando robusto”.</w:t>
      </w:r>
    </w:p>
    <w:p>
      <w:pPr>
        <w:pStyle w:val="Heading2"/>
        <w:keepNext/>
        <w:keepLines/>
      </w:pPr>
      <w:r>
        <w:rPr>
          <w:color w:val="0066CC"/>
        </w:rPr>
        <w:t>Diapositiva 3 – Metodología ampliada</w:t>
      </w:r>
    </w:p>
    <w:p>
      <w:pPr>
        <w:pStyle w:val="ListBullet"/>
        <w:keepLines w:val="1"/>
        <w:keepNext w:val="1"/>
        <w:widowControl w:val="1"/>
      </w:pPr>
      <w:r>
        <w:t xml:space="preserve">Breve mención a GQM: objetivos → preguntas → métricas.  </w:t>
      </w:r>
    </w:p>
    <w:p>
      <w:pPr>
        <w:pStyle w:val="ListBullet"/>
        <w:keepLines w:val="1"/>
        <w:keepNext w:val="1"/>
        <w:widowControl w:val="1"/>
      </w:pPr>
      <w:r>
        <w:t xml:space="preserve">Breve mención a PRAGMATIC: nueve criterios para evaluar métricas.  </w:t>
      </w:r>
    </w:p>
    <w:p>
      <w:pPr>
        <w:pStyle w:val="ListBullet"/>
        <w:keepLines w:val="1"/>
        <w:widowControl w:val="1"/>
      </w:pPr>
      <w:r>
        <w:t>Diagrama sencillo que muestre el flujo:</w:t>
      </w:r>
    </w:p>
    <w:p>
      <w:r>
        <w:rPr>
          <w:rFonts w:ascii="Courier New" w:hAnsi="Courier New"/>
          <w:sz w:val="18"/>
        </w:rPr>
        <w:t>Objetivos Estratégicos → Objetivos GQM → Preguntas → Métricas → PRAGMATIC → Indicadores/IGM</w:t>
      </w:r>
    </w:p>
    <w:p>
      <w:pPr>
        <w:pStyle w:val="Heading2"/>
        <w:keepNext/>
        <w:keepLines/>
      </w:pPr>
      <w:r>
        <w:rPr>
          <w:color w:val="0066CC"/>
        </w:rPr>
        <w:t>Diapositiva 4 – Objetivos GQM clave</w:t>
      </w:r>
    </w:p>
    <w:p>
      <w:pPr>
        <w:pStyle w:val="ListBullet"/>
        <w:keepLines w:val="1"/>
        <w:keepNext w:val="1"/>
        <w:widowControl w:val="1"/>
      </w:pPr>
      <w:r>
        <w:t xml:space="preserve">Lista de 4–6 objetivos (G1…G7), por ejemplo:  </w:t>
      </w:r>
    </w:p>
    <w:p>
      <w:pPr>
        <w:pStyle w:val="ListBullet"/>
        <w:keepLines w:val="1"/>
        <w:keepNext w:val="1"/>
        <w:widowControl w:val="1"/>
      </w:pPr>
      <w:r>
        <w:t xml:space="preserve">G1: Fortalecer autenticación en sistemas críticos.  </w:t>
      </w:r>
    </w:p>
    <w:p>
      <w:pPr>
        <w:pStyle w:val="ListBullet"/>
        <w:keepLines w:val="1"/>
        <w:keepNext w:val="1"/>
        <w:widowControl w:val="1"/>
      </w:pPr>
      <w:r>
        <w:t xml:space="preserve">G2: Reducir ventana de exposición a vulnerabilidades críticas.  </w:t>
      </w:r>
    </w:p>
    <w:p>
      <w:pPr>
        <w:pStyle w:val="ListBullet"/>
        <w:keepLines w:val="1"/>
        <w:keepNext w:val="1"/>
        <w:widowControl w:val="1"/>
      </w:pPr>
      <w:r>
        <w:t xml:space="preserve">G3: Mejorar detección y respuesta a incidentes.  </w:t>
      </w:r>
    </w:p>
    <w:p>
      <w:pPr>
        <w:pStyle w:val="ListBullet"/>
        <w:keepLines w:val="1"/>
        <w:keepNext w:val="1"/>
        <w:widowControl w:val="1"/>
      </w:pPr>
      <w:r>
        <w:t xml:space="preserve">G5: Gobernar la cadena de suministro.  </w:t>
      </w:r>
    </w:p>
    <w:p>
      <w:pPr>
        <w:pStyle w:val="ListBullet"/>
        <w:keepLines w:val="1"/>
        <w:widowControl w:val="1"/>
      </w:pPr>
      <w:r>
        <w:t>Mostrar, si se desea, un mapa a marcos normativos (ENS/NIS2).</w:t>
      </w:r>
    </w:p>
    <w:p>
      <w:pPr>
        <w:pStyle w:val="Heading2"/>
        <w:keepNext/>
        <w:keepLines/>
      </w:pPr>
      <w:r>
        <w:rPr>
          <w:color w:val="0066CC"/>
        </w:rPr>
        <w:t>Diapositiva 5 – Métricas “estrella” PRAGMATIC</w:t>
      </w:r>
    </w:p>
    <w:p>
      <w:pPr>
        <w:pStyle w:val="ListBullet"/>
        <w:keepLines w:val="1"/>
        <w:keepNext w:val="1"/>
        <w:widowControl w:val="1"/>
      </w:pPr>
      <w:r>
        <w:t xml:space="preserve">Tabla o gráfico con las métricas que superan un umbral (ej. ≥ 34 puntos PRAGMATIC):  </w:t>
      </w:r>
    </w:p>
    <w:p>
      <w:pPr>
        <w:pStyle w:val="ListBullet"/>
        <w:keepLines w:val="1"/>
        <w:keepNext w:val="1"/>
        <w:widowControl w:val="1"/>
      </w:pPr>
      <w:r>
        <w:t xml:space="preserve">%_Cuentas_criticas_MFA, MTTD, MTTR, %_Datos_sensibles_cifrados, etc.  </w:t>
      </w:r>
    </w:p>
    <w:p>
      <w:pPr>
        <w:pStyle w:val="ListBullet"/>
        <w:keepLines w:val="1"/>
        <w:widowControl w:val="1"/>
      </w:pPr>
      <w:r>
        <w:t>Breve explicación: “Estas métricas son las más fiables y útiles para la toma de decisiones”.</w:t>
      </w:r>
    </w:p>
    <w:p>
      <w:pPr>
        <w:pStyle w:val="Heading2"/>
        <w:keepNext/>
        <w:keepLines/>
      </w:pPr>
      <w:r>
        <w:rPr>
          <w:color w:val="0066CC"/>
        </w:rPr>
        <w:t>Diapositiva 6 – IGM y calidad de métricas</w:t>
      </w:r>
    </w:p>
    <w:p>
      <w:pPr>
        <w:pStyle w:val="ListBullet"/>
        <w:keepLines w:val="1"/>
        <w:keepNext w:val="1"/>
        <w:widowControl w:val="1"/>
      </w:pPr>
      <w:r>
        <w:t xml:space="preserve">Gráfico de velocímetro o barras con el IGM.  </w:t>
      </w:r>
    </w:p>
    <w:p>
      <w:pPr>
        <w:pStyle w:val="ListBullet"/>
        <w:keepLines w:val="1"/>
        <w:keepNext w:val="1"/>
        <w:widowControl w:val="1"/>
      </w:pPr>
      <w:r>
        <w:t xml:space="preserve">A su lado, gráfico de barras mostrando:  </w:t>
      </w:r>
    </w:p>
    <w:p>
      <w:pPr>
        <w:pStyle w:val="ListBullet"/>
        <w:keepLines w:val="1"/>
        <w:keepNext w:val="1"/>
        <w:widowControl w:val="1"/>
      </w:pPr>
      <w:r>
        <w:t xml:space="preserve">Media de puntuación PRAGMATIC de las métricas usadas.  </w:t>
      </w:r>
    </w:p>
    <w:p>
      <w:pPr>
        <w:pStyle w:val="ListBullet"/>
        <w:keepLines w:val="1"/>
        <w:widowControl w:val="1"/>
      </w:pPr>
      <w:r>
        <w:t>Número de métricas de alta calidad vs. baja calidad.</w:t>
      </w:r>
    </w:p>
    <w:p>
      <w:pPr>
        <w:pStyle w:val="Heading2"/>
        <w:keepNext/>
        <w:keepLines/>
      </w:pPr>
      <w:r>
        <w:rPr>
          <w:color w:val="0066CC"/>
        </w:rPr>
        <w:t>Diapositiva 7 – Vista por bloques (G y M)</w:t>
      </w:r>
    </w:p>
    <w:p>
      <w:pPr>
        <w:pStyle w:val="ListBullet"/>
        <w:keepLines w:val="1"/>
        <w:keepNext w:val="1"/>
        <w:widowControl w:val="1"/>
      </w:pPr>
      <w:r>
        <w:t xml:space="preserve">Tabla con columnas: Bloque, IGM_bloque, nº métricas altas PRAGMATIC.  </w:t>
      </w:r>
    </w:p>
    <w:p>
      <w:pPr>
        <w:pStyle w:val="ListBullet"/>
        <w:keepLines w:val="1"/>
        <w:widowControl w:val="1"/>
      </w:pPr>
      <w:r>
        <w:t>Comentario: “En monitorización tenemos buen IGM pero poca métrica de calidad” o al revés.</w:t>
      </w:r>
    </w:p>
    <w:p>
      <w:pPr>
        <w:pStyle w:val="Heading2"/>
        <w:keepNext/>
        <w:keepLines/>
      </w:pPr>
      <w:r>
        <w:rPr>
          <w:color w:val="0066CC"/>
        </w:rPr>
        <w:t>Diapositivas 8–10 – Hallazgos y recomendaciones</w:t>
      </w:r>
    </w:p>
    <w:p>
      <w:r>
        <w:t>Similares a la plantilla anterior, pero:</w:t>
      </w:r>
    </w:p>
    <w:p>
      <w:pPr>
        <w:pStyle w:val="ListBullet"/>
        <w:keepLines w:val="1"/>
        <w:keepNext w:val="1"/>
        <w:widowControl w:val="1"/>
      </w:pPr>
      <w:r>
        <w:t xml:space="preserve">Añadir referencias explícitas a objetivos GQM:  </w:t>
      </w:r>
    </w:p>
    <w:p>
      <w:pPr>
        <w:pStyle w:val="ListBullet"/>
        <w:keepLines w:val="1"/>
        <w:keepNext w:val="1"/>
        <w:widowControl w:val="1"/>
      </w:pPr>
      <w:r>
        <w:t xml:space="preserve">“Recomendación 1 (G1): completar despliegue de MFA hasta X %”.  </w:t>
      </w:r>
    </w:p>
    <w:p>
      <w:pPr>
        <w:pStyle w:val="ListBullet"/>
        <w:keepLines w:val="1"/>
        <w:widowControl w:val="1"/>
      </w:pPr>
      <w:r>
        <w:t>“Recomendación 2 (G2): reducir MTTP crítico a &lt; 14 días”.</w:t>
      </w:r>
    </w:p>
    <w:p>
      <w:pPr>
        <w:pStyle w:val="Heading2"/>
        <w:keepNext/>
        <w:keepLines/>
      </w:pPr>
      <w:r>
        <w:rPr>
          <w:color w:val="0066CC"/>
        </w:rPr>
        <w:t>Diapositiva 11 – Roadmap priorizado por GQM</w:t>
      </w:r>
    </w:p>
    <w:p>
      <w:pPr>
        <w:pStyle w:val="ListBullet"/>
        <w:keepLines w:val="1"/>
        <w:keepNext w:val="1"/>
        <w:widowControl w:val="1"/>
      </w:pPr>
      <w:r>
        <w:t xml:space="preserve">Roadmap 12–36 meses, donde cada iniciativa se asocia a uno o más objetivos GQM.  </w:t>
      </w:r>
    </w:p>
    <w:p>
      <w:pPr>
        <w:pStyle w:val="ListBullet"/>
        <w:keepLines w:val="1"/>
        <w:widowControl w:val="1"/>
      </w:pPr>
      <w:r>
        <w:t>Ejemplo: “Iniciativa: implantación EDR y SOC 24/7 → G3 (MTTD/MTTR), G7 (evidencias)”.</w:t>
      </w:r>
    </w:p>
    <w:p>
      <w:pPr>
        <w:pStyle w:val="Heading2"/>
        <w:keepNext/>
        <w:keepLines/>
      </w:pPr>
      <w:r>
        <w:rPr>
          <w:color w:val="0066CC"/>
        </w:rPr>
        <w:t>Diapositiva 12 – ROI y narrativa de valor</w:t>
      </w:r>
    </w:p>
    <w:p>
      <w:pPr>
        <w:pStyle w:val="ListBullet"/>
        <w:keepLines w:val="1"/>
        <w:keepNext w:val="1"/>
        <w:widowControl w:val="1"/>
      </w:pPr>
      <w:r>
        <w:t xml:space="preserve">Mostrar la relación entre:  </w:t>
      </w:r>
    </w:p>
    <w:p>
      <w:pPr>
        <w:pStyle w:val="ListBullet"/>
        <w:keepLines w:val="1"/>
        <w:keepNext w:val="1"/>
        <w:widowControl w:val="1"/>
      </w:pPr>
      <w:r>
        <w:t xml:space="preserve">Mejora en determinadas métricas GQM+PRAGMATIC.  </w:t>
      </w:r>
    </w:p>
    <w:p>
      <w:pPr>
        <w:pStyle w:val="ListBullet"/>
        <w:keepLines w:val="1"/>
        <w:keepNext w:val="1"/>
        <w:widowControl w:val="1"/>
      </w:pPr>
      <w:r>
        <w:t xml:space="preserve">Reducción de incidentes / pérdidas.  </w:t>
      </w:r>
    </w:p>
    <w:p>
      <w:pPr>
        <w:pStyle w:val="ListBullet"/>
        <w:keepLines w:val="1"/>
        <w:widowControl w:val="1"/>
      </w:pPr>
      <w:r>
        <w:t>Inversión realizada y ROI estimado.</w:t>
      </w:r>
    </w:p>
    <w:p>
      <w:pPr>
        <w:pStyle w:val="Heading2"/>
        <w:keepNext/>
        <w:keepLines/>
      </w:pPr>
      <w:r>
        <w:rPr>
          <w:color w:val="0066CC"/>
        </w:rPr>
        <w:t>Diapositiva 13 – Próximos pasos</w:t>
      </w:r>
    </w:p>
    <w:p>
      <w:pPr>
        <w:pStyle w:val="ListBullet"/>
        <w:keepLines w:val="1"/>
        <w:keepNext w:val="1"/>
        <w:widowControl w:val="1"/>
      </w:pPr>
      <w:r>
        <w:t xml:space="preserve">Repetición periódica de la encuesta y revisión de métricas.  </w:t>
      </w:r>
    </w:p>
    <w:p>
      <w:pPr>
        <w:pStyle w:val="ListBullet"/>
        <w:keepLines w:val="1"/>
        <w:keepNext w:val="1"/>
        <w:widowControl w:val="1"/>
      </w:pPr>
      <w:r>
        <w:t xml:space="preserve">Mejora del catálogo GQM.  </w:t>
      </w:r>
    </w:p>
    <w:p>
      <w:pPr>
        <w:pStyle w:val="ListBullet"/>
        <w:keepLines w:val="1"/>
        <w:widowControl w:val="1"/>
      </w:pPr>
      <w:r>
        <w:t>Refinado de la matriz PRAGMATIC a medida que se dispone de más experiencia.</w:t>
      </w:r>
    </w:p>
    <w:p>
      <w:r>
        <w:rPr>
          <w:i/>
        </w:rPr>
        <w:t>Este reporte ejecutivo no sólo dice “dónde estamos”, sino también “qué medimos y por qué confiar en ello”.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