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Resultados Encuesta Madurez CMMC / NIS2 / ENS</w:t>
      </w:r>
    </w:p>
    <w:p>
      <w:r>
        <w:t>Objetivo: ofrecer a dirección un relato claro, visual y accionable, sin abrumar con tablas infinitas (para eso estará el anexo).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“Informe de Madurez de Ciberseguridad – [Nombre Organización / Sector]”  </w:t>
      </w:r>
    </w:p>
    <w:p>
      <w:pPr>
        <w:pStyle w:val="ListBullet"/>
        <w:keepLines w:val="1"/>
        <w:keepNext w:val="1"/>
        <w:widowControl w:val="1"/>
      </w:pPr>
      <w:r>
        <w:t xml:space="preserve">Subtítulo: “Encuesta basada en CMMC 2.0, NIST SP 800‑171/172, ENS y NIS2”  </w:t>
      </w:r>
    </w:p>
    <w:p>
      <w:pPr>
        <w:pStyle w:val="ListBullet"/>
        <w:keepLines w:val="1"/>
        <w:keepNext w:val="1"/>
        <w:widowControl w:val="1"/>
      </w:pPr>
      <w:r>
        <w:t xml:space="preserve">Fecha.  </w:t>
      </w:r>
    </w:p>
    <w:p>
      <w:pPr>
        <w:pStyle w:val="ListBullet"/>
        <w:keepLines w:val="1"/>
        <w:widowControl w:val="1"/>
      </w:pPr>
      <w:r>
        <w:t>Logo de la organización / consorcio.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 xml:space="preserve">3–5 viñetas con mensajes clave, por ejemplo:  </w:t>
      </w:r>
    </w:p>
    <w:p>
      <w:pPr>
        <w:pStyle w:val="ListBullet"/>
        <w:keepLines w:val="1"/>
        <w:keepNext w:val="1"/>
        <w:widowControl w:val="1"/>
      </w:pPr>
      <w:r>
        <w:t xml:space="preserve">Nivel de madurez global (IGM) y posición relativa (bajo/medio/alto).  </w:t>
      </w:r>
    </w:p>
    <w:p>
      <w:pPr>
        <w:pStyle w:val="ListBullet"/>
        <w:keepLines w:val="1"/>
        <w:keepNext w:val="1"/>
        <w:widowControl w:val="1"/>
      </w:pPr>
      <w:r>
        <w:t xml:space="preserve">Principales fortalezas (2–3 áreas).  </w:t>
      </w:r>
    </w:p>
    <w:p>
      <w:pPr>
        <w:pStyle w:val="ListBullet"/>
        <w:keepLines w:val="1"/>
        <w:keepNext w:val="1"/>
        <w:widowControl w:val="1"/>
      </w:pPr>
      <w:r>
        <w:t xml:space="preserve">Principales áreas de mejora (2–3 áreas).  </w:t>
      </w:r>
    </w:p>
    <w:p>
      <w:pPr>
        <w:pStyle w:val="ListBullet"/>
        <w:keepLines w:val="1"/>
        <w:widowControl w:val="1"/>
      </w:pPr>
      <w:r>
        <w:t>Cifra destacada de reducción potencial de riesgo / pérdidas.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Breve explicación de:  </w:t>
      </w:r>
    </w:p>
    <w:p>
      <w:pPr>
        <w:pStyle w:val="ListBullet"/>
        <w:keepLines w:val="1"/>
        <w:keepNext w:val="1"/>
        <w:widowControl w:val="1"/>
      </w:pPr>
      <w:r>
        <w:t xml:space="preserve">Marco conceptual (CMMC/NIST/ENS/NIS2).  </w:t>
      </w:r>
    </w:p>
    <w:p>
      <w:pPr>
        <w:pStyle w:val="ListBullet"/>
        <w:keepLines w:val="1"/>
        <w:keepNext w:val="1"/>
        <w:widowControl w:val="1"/>
      </w:pPr>
      <w:r>
        <w:t xml:space="preserve">Número de organizaciones / unidades analizadas.  </w:t>
      </w:r>
    </w:p>
    <w:p>
      <w:pPr>
        <w:pStyle w:val="ListBullet"/>
        <w:keepLines w:val="1"/>
        <w:keepNext w:val="1"/>
        <w:widowControl w:val="1"/>
      </w:pPr>
      <w:r>
        <w:t xml:space="preserve">Fases: recogida de datos, procesamiento, análisis.  </w:t>
      </w:r>
    </w:p>
    <w:p>
      <w:pPr>
        <w:pStyle w:val="ListBullet"/>
        <w:keepLines w:val="1"/>
        <w:widowControl w:val="1"/>
      </w:pPr>
      <w:r>
        <w:t>Gráfico simple (timeline o diagrama de bloques) ilustrando el proceso.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de barras o velocímetro con:  </w:t>
      </w:r>
    </w:p>
    <w:p>
      <w:pPr>
        <w:pStyle w:val="ListBullet"/>
        <w:keepLines w:val="1"/>
        <w:keepNext w:val="1"/>
        <w:widowControl w:val="1"/>
      </w:pPr>
      <w:r>
        <w:t xml:space="preserve">IGM de la organización.  </w:t>
      </w:r>
    </w:p>
    <w:p>
      <w:pPr>
        <w:pStyle w:val="ListBullet"/>
        <w:keepLines w:val="1"/>
        <w:keepNext w:val="1"/>
        <w:widowControl w:val="1"/>
      </w:pPr>
      <w:r>
        <w:t xml:space="preserve">Media sectorial (si está disponible).  </w:t>
      </w:r>
    </w:p>
    <w:p>
      <w:pPr>
        <w:pStyle w:val="ListBullet"/>
        <w:keepLines w:val="1"/>
        <w:widowControl w:val="1"/>
      </w:pPr>
      <w:r>
        <w:t>Rango de referencia (0–100) con bandas de color (rojo/ámbar/verde).</w:t>
      </w:r>
    </w:p>
    <w:p>
      <w:r>
        <w:t>Texto breve: interpretación de la posición actual.</w:t>
      </w:r>
    </w:p>
    <w:p>
      <w:pPr>
        <w:pStyle w:val="Heading2"/>
        <w:keepNext/>
        <w:keepLines/>
      </w:pPr>
      <w:r>
        <w:rPr>
          <w:color w:val="0066CC"/>
        </w:rPr>
        <w:t>Diapositiva 5 – Índices parciales (IGC, ITEC, IRES, ICAS)</w:t>
      </w:r>
    </w:p>
    <w:p>
      <w:pPr>
        <w:pStyle w:val="ListBullet"/>
        <w:keepLines w:val="1"/>
        <w:keepNext w:val="1"/>
        <w:widowControl w:val="1"/>
      </w:pPr>
      <w:r>
        <w:t xml:space="preserve">Gráfico de radar o barras comparando:  </w:t>
      </w:r>
    </w:p>
    <w:p>
      <w:pPr>
        <w:pStyle w:val="ListBullet"/>
        <w:keepLines w:val="1"/>
        <w:keepNext w:val="1"/>
        <w:widowControl w:val="1"/>
      </w:pPr>
      <w:r>
        <w:t xml:space="preserve">Gobernanza y cultura (IGC).  </w:t>
      </w:r>
    </w:p>
    <w:p>
      <w:pPr>
        <w:pStyle w:val="ListBullet"/>
        <w:keepLines w:val="1"/>
        <w:keepNext w:val="1"/>
        <w:widowControl w:val="1"/>
      </w:pPr>
      <w:r>
        <w:t xml:space="preserve">Controles técnicos (ITEC).  </w:t>
      </w:r>
    </w:p>
    <w:p>
      <w:pPr>
        <w:pStyle w:val="ListBullet"/>
        <w:keepLines w:val="1"/>
        <w:keepNext w:val="1"/>
        <w:widowControl w:val="1"/>
      </w:pPr>
      <w:r>
        <w:t xml:space="preserve">Resiliencia (IRES).  </w:t>
      </w:r>
    </w:p>
    <w:p>
      <w:pPr>
        <w:pStyle w:val="ListBullet"/>
        <w:keepLines w:val="1"/>
        <w:widowControl w:val="1"/>
      </w:pPr>
      <w:r>
        <w:t>Cadena de suministro (ICAS).</w:t>
      </w:r>
    </w:p>
    <w:p>
      <w:r>
        <w:t>Breve comentario sobre desequilibrios y fortalezas.</w:t>
      </w:r>
    </w:p>
    <w:p>
      <w:pPr>
        <w:pStyle w:val="Heading2"/>
        <w:keepNext/>
        <w:keepLines/>
      </w:pPr>
      <w:r>
        <w:rPr>
          <w:color w:val="0066CC"/>
        </w:rPr>
        <w:t>Diapositiva 6 – Vista por bloques de madurez</w:t>
      </w:r>
    </w:p>
    <w:p>
      <w:pPr>
        <w:pStyle w:val="ListBullet"/>
        <w:keepLines w:val="1"/>
        <w:keepNext w:val="1"/>
        <w:widowControl w:val="1"/>
      </w:pPr>
      <w:r>
        <w:t xml:space="preserve">Tabla o gráfico de barras horizontales con los 10–11 bloques:  </w:t>
      </w:r>
    </w:p>
    <w:p>
      <w:pPr>
        <w:pStyle w:val="ListBullet"/>
        <w:keepLines w:val="1"/>
        <w:keepNext w:val="1"/>
        <w:widowControl w:val="1"/>
      </w:pPr>
      <w:r>
        <w:t xml:space="preserve">Gobernanza, Marcos, Activos, Accesos, Datos, Monitorización, Formación, Proveedores, Documentación, Métricas, Inversión.  </w:t>
      </w:r>
    </w:p>
    <w:p>
      <w:pPr>
        <w:pStyle w:val="ListBullet"/>
        <w:keepLines w:val="1"/>
        <w:widowControl w:val="1"/>
      </w:pPr>
      <w:r>
        <w:t>Cada bloque con puntuación 0–100.</w:t>
      </w:r>
    </w:p>
    <w:p>
      <w:r>
        <w:t>Comentario: “Top 3 bloques fuertes” y “Top 3 bloques débiles”.</w:t>
      </w:r>
    </w:p>
    <w:p>
      <w:pPr>
        <w:pStyle w:val="Heading2"/>
        <w:keepNext/>
        <w:keepLines/>
      </w:pPr>
      <w:r>
        <w:rPr>
          <w:color w:val="0066CC"/>
        </w:rPr>
        <w:t>Diapositiva 7 – Comparación sectorial (opcional)</w:t>
      </w:r>
    </w:p>
    <w:p>
      <w:pPr>
        <w:pStyle w:val="ListBullet"/>
        <w:keepLines w:val="1"/>
        <w:keepNext w:val="1"/>
        <w:widowControl w:val="1"/>
      </w:pPr>
      <w:r>
        <w:t xml:space="preserve">Si hay datos de otras organizaciones del mismo sector: boxplot o barras mostrando la posición relativa.  </w:t>
      </w:r>
    </w:p>
    <w:p>
      <w:pPr>
        <w:pStyle w:val="ListBullet"/>
        <w:keepLines w:val="1"/>
        <w:widowControl w:val="1"/>
      </w:pPr>
      <w:r>
        <w:t>Destacar si la organización está en el cuartil inferior, medio o superior.</w:t>
      </w:r>
    </w:p>
    <w:p>
      <w:pPr>
        <w:pStyle w:val="Heading2"/>
        <w:keepNext/>
        <w:keepLines/>
      </w:pPr>
      <w:r>
        <w:rPr>
          <w:color w:val="0066CC"/>
        </w:rPr>
        <w:t>Diapositiva 8 – Hallazgos clave (1/2)</w:t>
      </w:r>
    </w:p>
    <w:p>
      <w:pPr>
        <w:pStyle w:val="ListBullet"/>
        <w:keepLines w:val="1"/>
        <w:keepNext w:val="1"/>
        <w:widowControl w:val="1"/>
      </w:pPr>
      <w:r>
        <w:t xml:space="preserve">3–4 viñetas sobre fortalezas:  </w:t>
      </w:r>
    </w:p>
    <w:p>
      <w:pPr>
        <w:pStyle w:val="ListBullet"/>
        <w:keepLines w:val="1"/>
        <w:keepNext w:val="1"/>
        <w:widowControl w:val="1"/>
      </w:pPr>
      <w:r>
        <w:t xml:space="preserve">Ej. Alta implicación del órgano de gobierno.  </w:t>
      </w:r>
    </w:p>
    <w:p>
      <w:pPr>
        <w:pStyle w:val="ListBullet"/>
        <w:keepLines w:val="1"/>
        <w:keepNext w:val="1"/>
        <w:widowControl w:val="1"/>
      </w:pPr>
      <w:r>
        <w:t xml:space="preserve">Uso extendido de MFA.  </w:t>
      </w:r>
    </w:p>
    <w:p>
      <w:pPr>
        <w:pStyle w:val="ListBullet"/>
        <w:keepLines w:val="1"/>
        <w:widowControl w:val="1"/>
      </w:pPr>
      <w:r>
        <w:t>Documentación y evidencias robustas.</w:t>
      </w:r>
    </w:p>
    <w:p>
      <w:pPr>
        <w:pStyle w:val="Heading2"/>
        <w:keepNext/>
        <w:keepLines/>
      </w:pPr>
      <w:r>
        <w:rPr>
          <w:color w:val="0066CC"/>
        </w:rPr>
        <w:t>Diapositiva 9 – Hallazgos clave (2/2)</w:t>
      </w:r>
    </w:p>
    <w:p>
      <w:pPr>
        <w:pStyle w:val="ListBullet"/>
        <w:keepLines w:val="1"/>
        <w:keepNext w:val="1"/>
        <w:widowControl w:val="1"/>
      </w:pPr>
      <w:r>
        <w:t xml:space="preserve">3–4 viñetas sobre áreas de mejora prioritarias:  </w:t>
      </w:r>
    </w:p>
    <w:p>
      <w:pPr>
        <w:pStyle w:val="ListBullet"/>
        <w:keepLines w:val="1"/>
        <w:widowControl w:val="1"/>
      </w:pPr>
      <w:r>
        <w:t>Ej. Monitorización limitada, baja madurez en cadena de suministro, escasez de métricas.</w:t>
      </w:r>
    </w:p>
    <w:p>
      <w:pPr>
        <w:pStyle w:val="Heading2"/>
        <w:keepNext/>
        <w:keepLines/>
      </w:pPr>
      <w:r>
        <w:rPr>
          <w:color w:val="0066CC"/>
        </w:rPr>
        <w:t>Diapositiva 10 – Riesgos y oportunidades</w:t>
      </w:r>
    </w:p>
    <w:p>
      <w:pPr>
        <w:pStyle w:val="ListBullet"/>
        <w:keepLines w:val="1"/>
        <w:keepNext w:val="1"/>
        <w:widowControl w:val="1"/>
      </w:pPr>
      <w:r>
        <w:t xml:space="preserve">Tabla simple con dos columnas:  </w:t>
      </w:r>
    </w:p>
    <w:p>
      <w:pPr>
        <w:pStyle w:val="ListBullet"/>
        <w:keepLines w:val="1"/>
        <w:keepNext w:val="1"/>
        <w:widowControl w:val="1"/>
      </w:pPr>
      <w:r>
        <w:t xml:space="preserve">“Riesgos si no se actúa” (ej. incumplimiento NIS2, exposición a ransomware, pérdida de contratos).  </w:t>
      </w:r>
    </w:p>
    <w:p>
      <w:pPr>
        <w:pStyle w:val="ListBullet"/>
        <w:keepLines w:val="1"/>
        <w:widowControl w:val="1"/>
      </w:pPr>
      <w:r>
        <w:t>“Oportunidades si se actúa” (ej. reducción de pérdidas, ventaja competitiva, mejor puntuación en evaluaciones externas).</w:t>
      </w:r>
    </w:p>
    <w:p>
      <w:pPr>
        <w:pStyle w:val="Heading2"/>
        <w:keepNext/>
        <w:keepLines/>
      </w:pPr>
      <w:r>
        <w:rPr>
          <w:color w:val="0066CC"/>
        </w:rPr>
        <w:t>Diapositiva 11 – Hoja de ruta de mejora (12–36 meses)</w:t>
      </w:r>
    </w:p>
    <w:p>
      <w:pPr>
        <w:pStyle w:val="ListBullet"/>
        <w:keepLines w:val="1"/>
        <w:keepNext w:val="1"/>
        <w:widowControl w:val="1"/>
      </w:pPr>
      <w:r>
        <w:t xml:space="preserve">Roadmap en 3 horizontes:  </w:t>
      </w:r>
    </w:p>
    <w:p>
      <w:pPr>
        <w:pStyle w:val="ListBullet"/>
        <w:keepLines w:val="1"/>
        <w:keepNext w:val="1"/>
        <w:widowControl w:val="1"/>
      </w:pPr>
      <w:r>
        <w:t xml:space="preserve">Corto plazo (0–12 meses): quick wins y corrección de puntos débiles críticos.  </w:t>
      </w:r>
    </w:p>
    <w:p>
      <w:pPr>
        <w:pStyle w:val="ListBullet"/>
        <w:keepLines w:val="1"/>
        <w:keepNext w:val="1"/>
        <w:widowControl w:val="1"/>
      </w:pPr>
      <w:r>
        <w:t xml:space="preserve">Medio plazo (12–24 meses): proyectos estructurales.  </w:t>
      </w:r>
    </w:p>
    <w:p>
      <w:pPr>
        <w:pStyle w:val="ListBullet"/>
        <w:keepLines w:val="1"/>
        <w:widowControl w:val="1"/>
      </w:pPr>
      <w:r>
        <w:t>Largo plazo (24–36 meses): consolidación y nivel CMMC/NIS2 avanzado.</w:t>
      </w:r>
    </w:p>
    <w:p>
      <w:r>
        <w:t>Cada horizonte con 3–5 iniciativas clave.</w:t>
      </w:r>
    </w:p>
    <w:p>
      <w:pPr>
        <w:pStyle w:val="Heading2"/>
        <w:keepNext/>
        <w:keepLines/>
      </w:pPr>
      <w:r>
        <w:rPr>
          <w:color w:val="0066CC"/>
        </w:rPr>
        <w:t>Diapositiva 12 – Estimación de impacto y ROI</w:t>
      </w:r>
    </w:p>
    <w:p>
      <w:pPr>
        <w:pStyle w:val="ListBullet"/>
        <w:keepLines w:val="1"/>
        <w:keepNext w:val="1"/>
        <w:widowControl w:val="1"/>
      </w:pPr>
      <w:r>
        <w:t xml:space="preserve">Gráfico simple que muestre:  </w:t>
      </w:r>
    </w:p>
    <w:p>
      <w:pPr>
        <w:pStyle w:val="ListBullet"/>
        <w:keepLines w:val="1"/>
        <w:keepNext w:val="1"/>
        <w:widowControl w:val="1"/>
      </w:pPr>
      <w:r>
        <w:t xml:space="preserve">Inversión total estimada.  </w:t>
      </w:r>
    </w:p>
    <w:p>
      <w:pPr>
        <w:pStyle w:val="ListBullet"/>
        <w:keepLines w:val="1"/>
        <w:keepNext w:val="1"/>
        <w:widowControl w:val="1"/>
      </w:pPr>
      <w:r>
        <w:t xml:space="preserve">Reducción esperada de pérdidas / riesgo.  </w:t>
      </w:r>
    </w:p>
    <w:p>
      <w:pPr>
        <w:pStyle w:val="ListBullet"/>
        <w:keepLines w:val="1"/>
        <w:widowControl w:val="1"/>
      </w:pPr>
      <w:r>
        <w:t>ROI aproximado (bandas y rangos mejor que cifras exactas).</w:t>
      </w:r>
    </w:p>
    <w:p>
      <w:pPr>
        <w:pStyle w:val="Heading2"/>
        <w:keepNext/>
        <w:keepLines/>
      </w:pPr>
      <w:r>
        <w:rPr>
          <w:color w:val="0066CC"/>
        </w:rPr>
        <w:t>Diapositiva 13 – Anexos / Contacto</w:t>
      </w:r>
    </w:p>
    <w:p>
      <w:pPr>
        <w:pStyle w:val="ListBullet"/>
        <w:keepLines w:val="1"/>
        <w:keepNext w:val="1"/>
        <w:widowControl w:val="1"/>
      </w:pPr>
      <w:r>
        <w:t xml:space="preserve">Referencia a informes detallados (anexo técnico, Excel, cuestionario completo).  </w:t>
      </w:r>
    </w:p>
    <w:p>
      <w:pPr>
        <w:pStyle w:val="ListBullet"/>
        <w:keepLines w:val="1"/>
        <w:widowControl w:val="1"/>
      </w:pPr>
      <w:r>
        <w:t>Datos de contacto del equipo responsable del análisis.</w:t>
      </w:r>
    </w:p>
    <w:p>
      <w:r>
        <w:rPr>
          <w:i/>
        </w:rPr>
        <w:t>Fin de la plantilla de reporte ejecutivo. Personalizar colores, logos y tipografías según la casa; las ideas, eso sí, son portátiles.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