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de Madurez CMMC / NIS2 / ENS</w:t>
      </w:r>
    </w:p>
    <w:p>
      <w:r>
        <w:t>Bienvenido/a al kit de autoexamen razonablemente honesto de tu madurez de ciberseguridad.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está formado por los siguientes archivos (todos en formato Markdown, listos para versionar en Git o similar):</w:t>
      </w:r>
    </w:p>
    <w:p>
      <w:pPr>
        <w:pStyle w:val="ListBullet"/>
        <w:keepLines w:val="1"/>
        <w:keepNext w:val="1"/>
        <w:widowControl w:val="1"/>
      </w:pPr>
      <w:r>
        <w:t xml:space="preserve">(a) encuesta_cmmc_integral.md – Modelo completo de encuesta para responsables de seguridad.  </w:t>
      </w:r>
    </w:p>
    <w:p>
      <w:pPr>
        <w:pStyle w:val="ListBullet"/>
        <w:keepLines w:val="1"/>
        <w:keepNext w:val="1"/>
        <w:widowControl w:val="1"/>
      </w:pPr>
      <w:r>
        <w:t xml:space="preserve">(b) guia_metodologica_cmmc.md – Guía metodológica: objetivos, diseño, puntuación, índices.  </w:t>
      </w:r>
    </w:p>
    <w:p>
      <w:pPr>
        <w:pStyle w:val="ListBullet"/>
        <w:keepLines w:val="1"/>
        <w:keepNext w:val="1"/>
        <w:widowControl w:val="1"/>
      </w:pPr>
      <w:r>
        <w:t xml:space="preserve">(c) narrativa_explicativa_cmmc.md – Narrativa para explicar el “por qué” y el “para qué” de la encuesta.  </w:t>
      </w:r>
    </w:p>
    <w:p>
      <w:pPr>
        <w:pStyle w:val="ListBullet"/>
        <w:keepLines w:val="1"/>
        <w:keepNext w:val="1"/>
        <w:widowControl w:val="1"/>
      </w:pPr>
      <w:r>
        <w:t xml:space="preserve">(d) mapeo_preguntas_normativa_cmmc.md – Tabla de mapeo de cada pregunta a CMMC, NIST, ENS, NIS2, etc.  </w:t>
      </w:r>
    </w:p>
    <w:p>
      <w:pPr>
        <w:pStyle w:val="ListBullet"/>
        <w:keepLines w:val="1"/>
        <w:keepNext w:val="1"/>
        <w:widowControl w:val="1"/>
      </w:pPr>
      <w:r>
        <w:t xml:space="preserve">(e) plantilla_excel_igm_roi.md – Instrucciones para crear la hoja de cálculo de IGM y ROI.  </w:t>
      </w:r>
    </w:p>
    <w:p>
      <w:pPr>
        <w:pStyle w:val="ListBullet"/>
        <w:keepLines w:val="1"/>
        <w:keepNext w:val="1"/>
        <w:widowControl w:val="1"/>
      </w:pPr>
      <w:r>
        <w:t xml:space="preserve">(f) plantilla_reporte_ejecutivo_ppt.md – Esqueleto de presentación ejecutiva en PowerPoint.  </w:t>
      </w:r>
    </w:p>
    <w:p>
      <w:pPr>
        <w:pStyle w:val="ListBullet"/>
        <w:keepLines w:val="1"/>
        <w:widowControl w:val="1"/>
      </w:pPr>
      <w:r>
        <w:t>(g) README_kit_encuesta_cmmc.md – Este mismo documento.</w:t>
      </w:r>
    </w:p>
    <w:p>
      <w:pPr>
        <w:pStyle w:val="Heading2"/>
        <w:keepNext/>
        <w:keepLines/>
      </w:pPr>
      <w:r>
        <w:rPr>
          <w:color w:val="0066CC"/>
        </w:rPr>
        <w:t>2. Uso recomendado (en 5 pasos)</w:t>
      </w:r>
    </w:p>
    <w:p>
      <w:pPr>
        <w:pStyle w:val="ListNumber"/>
        <w:keepLines w:val="1"/>
        <w:keepNext w:val="1"/>
        <w:widowControl w:val="1"/>
      </w:pPr>
      <w:r>
        <w:t xml:space="preserve">Adaptación ligera </w:t>
      </w:r>
    </w:p>
    <w:p>
      <w:pPr>
        <w:pStyle w:val="ListNumber"/>
        <w:keepLines w:val="1"/>
        <w:keepNext w:val="1"/>
        <w:widowControl w:val="1"/>
      </w:pPr>
      <w:r>
        <w:t xml:space="preserve">Revisar el cuestionario (a) y ajustar el tono, ejemplos y cierta terminología a tu sector (sanidad, industria, administración, etc.).  </w:t>
      </w:r>
    </w:p>
    <w:p>
      <w:pPr>
        <w:pStyle w:val="ListNumber"/>
        <w:keepLines w:val="1"/>
        <w:keepNext w:val="1"/>
        <w:widowControl w:val="1"/>
      </w:pPr>
      <w:r>
        <w:br/>
        <w:t>Mantener, en la medida de lo posible, la estructura de bloques y escalas de respuesta.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Configuración de la herramienta de recogida </w:t>
        <w:br/>
      </w:r>
    </w:p>
    <w:p>
      <w:pPr>
        <w:pStyle w:val="ListNumber"/>
        <w:keepLines w:val="1"/>
        <w:keepNext w:val="1"/>
        <w:widowControl w:val="1"/>
      </w:pPr>
      <w:r>
        <w:t xml:space="preserve">Volcar las preguntas en la plataforma de encuestas que se vaya a utilizar (online o interna).  </w:t>
      </w:r>
    </w:p>
    <w:p>
      <w:pPr>
        <w:pStyle w:val="ListNumber"/>
        <w:keepLines w:val="1"/>
        <w:keepNext w:val="1"/>
        <w:widowControl w:val="1"/>
      </w:pPr>
      <w:r>
        <w:br/>
        <w:t>Asegurarse de que cada pregunta tenga un identificador (Q1_1, Q3_2, etc.) para el posterior análisis en Excel.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Aplicación de la encuesta </w:t>
        <w:br/>
      </w:r>
    </w:p>
    <w:p>
      <w:pPr>
        <w:pStyle w:val="ListNumber"/>
        <w:keepLines w:val="1"/>
        <w:keepNext w:val="1"/>
        <w:widowControl w:val="1"/>
      </w:pPr>
      <w:r>
        <w:t xml:space="preserve">Definir a quién se enviará (CISO, IT, riesgo, cumplimiento, etc.).  </w:t>
      </w:r>
    </w:p>
    <w:p>
      <w:pPr>
        <w:pStyle w:val="ListNumber"/>
        <w:keepLines w:val="1"/>
        <w:keepNext w:val="1"/>
        <w:widowControl w:val="1"/>
      </w:pPr>
      <w:r>
        <w:t xml:space="preserve">Comunicar el propósito: diagnóstico y mejora, no caza de brujas.  </w:t>
      </w:r>
    </w:p>
    <w:p>
      <w:pPr>
        <w:pStyle w:val="ListNumber"/>
        <w:keepLines w:val="1"/>
        <w:keepNext w:val="1"/>
        <w:widowControl w:val="1"/>
      </w:pPr>
      <w:r>
        <w:br/>
        <w:t>Establecer un plazo y enviar recordatorios sensatos.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Análisis de resultados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Usar la plantilla Excel descrita en (e) para calcular:  </w:t>
        <w:br/>
        <w:br/>
        <w:t xml:space="preserve">Puntuación por pregunta y bloque.  </w:t>
        <w:br/>
        <w:t xml:space="preserve">Índice Global de Madurez (IGM).  </w:t>
        <w:br/>
        <w:t xml:space="preserve">Índices parciales (IGC, ITEC, IRES, ICAS).  </w:t>
        <w:br/>
        <w:t xml:space="preserve">Indicadores de ROI cuando se disponga de datos económicos.  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Comunicación y acción </w:t>
        <w:br/>
      </w:r>
    </w:p>
    <w:p>
      <w:pPr>
        <w:pStyle w:val="ListNumber"/>
        <w:keepLines w:val="1"/>
        <w:keepNext w:val="1"/>
        <w:widowControl w:val="1"/>
      </w:pPr>
      <w:r>
        <w:t xml:space="preserve">Construir el reporte ejecutivo siguiendo la plantilla (f).  </w:t>
      </w:r>
    </w:p>
    <w:p>
      <w:pPr>
        <w:pStyle w:val="ListNumber"/>
        <w:keepLines w:val="1"/>
        <w:keepNext w:val="1"/>
        <w:widowControl w:val="1"/>
      </w:pPr>
      <w:r>
        <w:t xml:space="preserve">Presentar resultados a la dirección y acordar una hoja de ruta de mejora.  </w:t>
      </w:r>
    </w:p>
    <w:p>
      <w:pPr>
        <w:pStyle w:val="ListNumber"/>
        <w:keepLines w:val="1"/>
        <w:widowControl w:val="1"/>
      </w:pPr>
      <w:r>
        <w:t>Establecer una frecuencia de repetición (por ejemplo, anual) para medir evolución.</w:t>
      </w:r>
    </w:p>
    <w:p>
      <w:r>
        <w:t>Mantener, en la medida de lo posible, la estructura de bloques y escalas de respuesta.</w:t>
      </w:r>
    </w:p>
    <w:p>
      <w:r>
        <w:rPr>
          <w:b/>
        </w:rPr>
        <w:t>Configuración de la herramienta de recogida</w:t>
      </w:r>
      <w:r>
        <w:t xml:space="preserve"> </w:t>
      </w:r>
    </w:p>
    <w:p>
      <w:r>
        <w:t>Asegurarse de que cada pregunta tenga un identificador (</w:t>
      </w:r>
      <w:r>
        <w:rPr>
          <w:rFonts w:ascii="Courier New" w:hAnsi="Courier New"/>
          <w:sz w:val="18"/>
        </w:rPr>
        <w:t>Q1_1</w:t>
      </w:r>
      <w:r>
        <w:t xml:space="preserve">, </w:t>
      </w:r>
      <w:r>
        <w:rPr>
          <w:rFonts w:ascii="Courier New" w:hAnsi="Courier New"/>
          <w:sz w:val="18"/>
        </w:rPr>
        <w:t>Q3_2</w:t>
      </w:r>
      <w:r>
        <w:t>, etc.) para el posterior análisis en Excel.</w:t>
      </w:r>
    </w:p>
    <w:p>
      <w:r>
        <w:rPr>
          <w:b/>
        </w:rPr>
        <w:t>Aplicación de la encuesta</w:t>
      </w:r>
      <w:r>
        <w:t xml:space="preserve"> </w:t>
      </w:r>
    </w:p>
    <w:p>
      <w:r>
        <w:t>Establecer un plazo y enviar recordatorios sensatos.</w:t>
      </w:r>
    </w:p>
    <w:p>
      <w:r>
        <w:rPr>
          <w:b/>
        </w:rPr>
        <w:t>Análisis de resultados</w:t>
      </w:r>
      <w:r>
        <w:t xml:space="preserve"> </w:t>
      </w:r>
    </w:p>
    <w:p>
      <w:r>
        <w:t xml:space="preserve">Usar la plantilla Excel descrita en (e) para calcular:  </w:t>
      </w:r>
    </w:p>
    <w:p>
      <w:pPr>
        <w:pStyle w:val="ListBullet"/>
        <w:keepLines w:val="1"/>
        <w:keepNext w:val="1"/>
        <w:widowControl w:val="1"/>
      </w:pPr>
      <w:r>
        <w:t xml:space="preserve">Puntuación por pregunta y bloque.  </w:t>
      </w:r>
    </w:p>
    <w:p>
      <w:pPr>
        <w:pStyle w:val="ListBullet"/>
        <w:keepLines w:val="1"/>
        <w:keepNext w:val="1"/>
        <w:widowControl w:val="1"/>
      </w:pPr>
      <w:r>
        <w:t xml:space="preserve">Índice Global de Madurez (IGM).  </w:t>
      </w:r>
    </w:p>
    <w:p>
      <w:pPr>
        <w:pStyle w:val="ListBullet"/>
        <w:keepLines w:val="1"/>
        <w:keepNext w:val="1"/>
        <w:widowControl w:val="1"/>
      </w:pPr>
      <w:r>
        <w:t xml:space="preserve">Índices parciales (IGC, ITEC, IRES, ICAS).  </w:t>
      </w:r>
    </w:p>
    <w:p>
      <w:pPr>
        <w:pStyle w:val="ListBullet"/>
        <w:keepLines w:val="1"/>
        <w:widowControl w:val="1"/>
      </w:pPr>
      <w:r>
        <w:t xml:space="preserve">Indicadores de ROI cuando se disponga de datos económicos.  </w:t>
      </w:r>
    </w:p>
    <w:p>
      <w:r>
        <w:rPr>
          <w:b/>
        </w:rPr>
        <w:t>Comunicación y acción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3. Adaptación por sector</w:t>
      </w:r>
    </w:p>
    <w:p>
      <w:r>
        <w:t xml:space="preserve">El kit está diseñado para ser </w:t>
      </w:r>
      <w:r>
        <w:rPr>
          <w:b/>
        </w:rPr>
        <w:t>sector‑agnóstico</w:t>
      </w:r>
      <w:r>
        <w:t>, pero:</w:t>
      </w:r>
    </w:p>
    <w:p>
      <w:pPr>
        <w:pStyle w:val="ListBullet"/>
        <w:keepLines w:val="1"/>
        <w:keepNext w:val="1"/>
        <w:widowControl w:val="1"/>
      </w:pPr>
      <w:r>
        <w:t xml:space="preserve">En sanidad, se pueden reforzar aspectos de protección de datos sensibles (historias clínicas) y continuidad asistencial.  </w:t>
      </w:r>
    </w:p>
    <w:p>
      <w:pPr>
        <w:pStyle w:val="ListBullet"/>
        <w:keepLines w:val="1"/>
        <w:keepNext w:val="1"/>
        <w:widowControl w:val="1"/>
      </w:pPr>
      <w:r>
        <w:t xml:space="preserve">En industria y exportación, conviene enfatizar cadena de suministro, OT/ICS y requisitos de clientes internacionales (incluyendo DoD/CMMC cuando aplique).  </w:t>
      </w:r>
    </w:p>
    <w:p>
      <w:pPr>
        <w:pStyle w:val="ListBullet"/>
        <w:keepLines w:val="1"/>
        <w:widowControl w:val="1"/>
      </w:pPr>
      <w:r>
        <w:t>En administración pública, el ENS y las obligaciones de NIS2 deben tener un papel central en el mapeo y en las prioridades.</w:t>
      </w:r>
    </w:p>
    <w:p>
      <w:r>
        <w:t>Nada impide crear variantes sectoriales del cuestionario y de los pesos de bloques en el cálculo del IGM.</w:t>
      </w:r>
    </w:p>
    <w:p>
      <w:pPr>
        <w:pStyle w:val="Heading2"/>
        <w:keepNext/>
        <w:keepLines/>
      </w:pPr>
      <w:r>
        <w:rPr>
          <w:color w:val="0066CC"/>
        </w:rPr>
        <w:t>4. Buenas prácticas de implantación</w:t>
      </w:r>
    </w:p>
    <w:p>
      <w:pPr>
        <w:pStyle w:val="ListBullet"/>
        <w:keepLines w:val="1"/>
        <w:keepNext w:val="1"/>
        <w:widowControl w:val="1"/>
      </w:pPr>
      <w:r>
        <w:t xml:space="preserve">Transparencia: explicar claramente cómo se usarán los datos y quién tendrá acceso.  </w:t>
      </w:r>
    </w:p>
    <w:p>
      <w:pPr>
        <w:pStyle w:val="ListBullet"/>
        <w:keepLines w:val="1"/>
        <w:keepNext w:val="1"/>
        <w:widowControl w:val="1"/>
      </w:pPr>
      <w:r>
        <w:t xml:space="preserve">Confidencialidad: anonimizar resultados en reportes agregados, salvo acuerdo expreso.  </w:t>
      </w:r>
    </w:p>
    <w:p>
      <w:pPr>
        <w:pStyle w:val="ListBullet"/>
        <w:keepLines w:val="1"/>
        <w:keepNext w:val="1"/>
        <w:widowControl w:val="1"/>
      </w:pPr>
      <w:r>
        <w:t xml:space="preserve">Iteración: empezar con una versión 1.0 y mejorar el cuestionario a la vista de la experiencia.  </w:t>
      </w:r>
    </w:p>
    <w:p>
      <w:pPr>
        <w:pStyle w:val="ListBullet"/>
        <w:keepLines w:val="1"/>
        <w:widowControl w:val="1"/>
      </w:pPr>
      <w:r>
        <w:t>Triangulación: complementar la encuesta con evidencias, métricas reales e incidentes históricos.</w:t>
      </w:r>
    </w:p>
    <w:p>
      <w:pPr>
        <w:pStyle w:val="Heading2"/>
        <w:keepNext/>
        <w:keepLines/>
      </w:pPr>
      <w:r>
        <w:rPr>
          <w:color w:val="0066CC"/>
        </w:rPr>
        <w:t>5. Límites y precauciones</w:t>
      </w:r>
    </w:p>
    <w:p>
      <w:pPr>
        <w:pStyle w:val="ListBullet"/>
        <w:keepLines w:val="1"/>
        <w:keepNext w:val="1"/>
        <w:widowControl w:val="1"/>
      </w:pPr>
      <w:r>
        <w:t xml:space="preserve">Es una herramienta de autoevaluación estructurada, no un dictamen de organismo regulador.  </w:t>
      </w:r>
    </w:p>
    <w:p>
      <w:pPr>
        <w:pStyle w:val="ListBullet"/>
        <w:keepLines w:val="1"/>
        <w:keepNext w:val="1"/>
        <w:widowControl w:val="1"/>
      </w:pPr>
      <w:r>
        <w:t xml:space="preserve">Los índices sintetizan mucha información: útiles para ilustrar, peligrosos para simplificar en exceso.  </w:t>
      </w:r>
    </w:p>
    <w:p>
      <w:pPr>
        <w:pStyle w:val="ListBullet"/>
        <w:keepLines w:val="1"/>
        <w:widowControl w:val="1"/>
      </w:pPr>
      <w:r>
        <w:t>Es fácil obsesionarse con el número (IGM) y olvidar el relato: ambos son necesarios.</w:t>
      </w:r>
    </w:p>
    <w:p>
      <w:pPr>
        <w:pStyle w:val="Heading2"/>
        <w:keepNext/>
        <w:keepLines/>
      </w:pPr>
      <w:r>
        <w:rPr>
          <w:color w:val="0066CC"/>
        </w:rPr>
        <w:t>6. Próximos pasos sugeridos</w:t>
      </w:r>
    </w:p>
    <w:p>
      <w:pPr>
        <w:pStyle w:val="ListBullet"/>
        <w:keepLines w:val="1"/>
        <w:keepNext w:val="1"/>
        <w:widowControl w:val="1"/>
      </w:pPr>
      <w:r>
        <w:t xml:space="preserve">Definir un piloto en una o dos unidades/organizaciones antes de desplegarlo masivamente.  </w:t>
      </w:r>
    </w:p>
    <w:p>
      <w:pPr>
        <w:pStyle w:val="ListBullet"/>
        <w:keepLines w:val="1"/>
        <w:keepNext w:val="1"/>
        <w:widowControl w:val="1"/>
      </w:pPr>
      <w:r>
        <w:t xml:space="preserve">Afinar pesos y escalas a partir de esa primera experiencia.  </w:t>
      </w:r>
    </w:p>
    <w:p>
      <w:pPr>
        <w:pStyle w:val="ListBullet"/>
        <w:keepLines w:val="1"/>
        <w:keepNext w:val="1"/>
        <w:widowControl w:val="1"/>
      </w:pPr>
      <w:r>
        <w:t xml:space="preserve">Considerar el uso del kit como base para:  </w:t>
      </w:r>
    </w:p>
    <w:p>
      <w:pPr>
        <w:pStyle w:val="ListBullet"/>
        <w:keepLines w:val="1"/>
        <w:keepNext w:val="1"/>
        <w:widowControl w:val="1"/>
      </w:pPr>
      <w:r>
        <w:t xml:space="preserve">Programas sectoriales de madurez.  </w:t>
      </w:r>
    </w:p>
    <w:p>
      <w:pPr>
        <w:pStyle w:val="ListBullet"/>
        <w:keepLines w:val="1"/>
        <w:keepNext w:val="1"/>
        <w:widowControl w:val="1"/>
      </w:pPr>
      <w:r>
        <w:t xml:space="preserve">Iniciativas de certificación voluntaria.  </w:t>
      </w:r>
    </w:p>
    <w:p>
      <w:pPr>
        <w:pStyle w:val="ListBullet"/>
        <w:keepLines w:val="1"/>
        <w:widowControl w:val="1"/>
      </w:pPr>
      <w:r>
        <w:t>Herramientas de diálogo con aseguradoras y grandes clientes.</w:t>
      </w:r>
    </w:p>
    <w:p>
      <w:r>
        <w:rPr>
          <w:i/>
        </w:rPr>
        <w:t>Si llegas a utilizar este kit para mejorar la postura de seguridad de tu organización (y de paso, la del país), considérate oficialmente culpable de una buena influencia.</w:t>
      </w:r>
      <w:r>
        <w:t xml:space="preserve">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