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Guía Metodológica — Encuesta CSCRM España 2026</w:t>
      </w:r>
    </w:p>
    <w:p>
      <w:pPr>
        <w:pStyle w:val="Heading3"/>
        <w:keepNext/>
        <w:keepLines/>
      </w:pPr>
      <w:r>
        <w:t>Diseño, Aplicación, Análisis e Interpretación de Resultados</w:t>
      </w:r>
    </w:p>
    <w:p>
      <w:r>
        <w:rPr>
          <w:b/>
        </w:rPr>
        <w:t>Versión 1.0 · Documento (b) del Kit de Encuesta CSCRM</w:t>
      </w:r>
    </w:p>
    <w:p>
      <w:pPr>
        <w:pStyle w:val="Heading2"/>
        <w:keepNext/>
        <w:keepLines/>
      </w:pPr>
      <w:r>
        <w:rPr>
          <w:color w:val="0066CC"/>
        </w:rPr>
        <w:t>1. Fundamento Epistemológico y Diseño de la Investigación</w:t>
      </w:r>
    </w:p>
    <w:p>
      <w:pPr>
        <w:pStyle w:val="Heading3"/>
        <w:keepNext/>
        <w:keepLines/>
      </w:pPr>
      <w:r>
        <w:t>1.1. Naturaleza del Estudio</w:t>
      </w:r>
    </w:p>
    <w:p>
      <w:r>
        <w:t xml:space="preserve">Esta encuesta constituye un </w:t>
      </w:r>
      <w:r>
        <w:rPr>
          <w:b/>
        </w:rPr>
        <w:t>instrumento de investigación mixto</w:t>
      </w:r>
      <w:r>
        <w:t xml:space="preserve"> (cuantitativo-cualitativo) orientado a evaluar la madurez de las organizaciones españolas en la Gestión de Riesgos de Ciberseguridad en la Cadena de Suministro (CSCRM). Su diseño se enmarca en la tradición de los estudios de madurez de capacidades (</w:t>
      </w:r>
      <w:r>
        <w:rPr>
          <w:i/>
        </w:rPr>
        <w:t>Capability Maturity Models</w:t>
      </w:r>
      <w:r>
        <w:t>), con referencia directa al marco CMM/CMMI adaptado al ámbito de la ciberseguridad.</w:t>
      </w:r>
    </w:p>
    <w:p>
      <w:r>
        <w:t xml:space="preserve">El estudio adopta un enfoque </w:t>
      </w:r>
      <w:r>
        <w:rPr>
          <w:b/>
        </w:rPr>
        <w:t>descriptivo-comparativo</w:t>
      </w:r>
      <w:r>
        <w:t>: descriptivo porque caracteriza el estado actual de la madurez CSCRM en las organizaciones participantes; comparativo porque permite establecer benchmarks sectoriales, por tamaño organizativo y por régimen normativo aplicable.</w:t>
      </w:r>
    </w:p>
    <w:p>
      <w:pPr>
        <w:pStyle w:val="Heading3"/>
        <w:keepNext/>
        <w:keepLines/>
      </w:pPr>
      <w:r>
        <w:t>1.2. Marco Teórico y Referencias Fundacionales</w:t>
      </w:r>
    </w:p>
    <w:p>
      <w:r>
        <w:t>El diseño de la encuesta se apoya en los siguientes marcos de referencia primarios: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Marco / Norma</w:t>
            </w:r>
          </w:p>
        </w:tc>
        <w:tc>
          <w:tcPr>
            <w:tcW w:type="dxa" w:w="3120"/>
            <w:shd w:fill="0033CC"/>
          </w:tcPr>
          <w:p>
            <w:pPr>
              <w:keepLines w:val="1"/>
              <w:keepNext w:val="1"/>
            </w:pPr>
            <w:r>
              <w:rPr>
                <w:b/>
                <w:color w:val="FFFFFF"/>
              </w:rPr>
              <w:t>Versión / Fecha</w:t>
            </w:r>
          </w:p>
        </w:tc>
        <w:tc>
          <w:tcPr>
            <w:tcW w:type="dxa" w:w="3120"/>
            <w:shd w:fill="0033CC"/>
          </w:tcPr>
          <w:p>
            <w:pPr>
              <w:keepLines w:val="1"/>
              <w:keepNext w:val="1"/>
            </w:pPr>
            <w:r>
              <w:rPr>
                <w:b/>
                <w:color w:val="FFFFFF"/>
              </w:rPr>
              <w:t>Contribución al diseño</w:t>
            </w:r>
          </w:p>
        </w:tc>
      </w:tr>
      <w:tr>
        <w:trPr>
          <w:cantSplit w:val="1"/>
        </w:trPr>
        <w:tc>
          <w:tcPr>
            <w:tcW w:type="dxa" w:w="3120"/>
          </w:tcPr>
          <w:p>
            <w:pPr>
              <w:keepLines w:val="1"/>
              <w:keepNext w:val="1"/>
            </w:pPr>
            <w:r>
              <w:t>NIST SP 800-161r1</w:t>
            </w:r>
          </w:p>
        </w:tc>
        <w:tc>
          <w:tcPr>
            <w:tcW w:type="dxa" w:w="3120"/>
          </w:tcPr>
          <w:p>
            <w:pPr>
              <w:keepLines w:val="1"/>
              <w:keepNext w:val="1"/>
            </w:pPr>
            <w:r>
              <w:t>Actualización nov. 2024</w:t>
            </w:r>
          </w:p>
        </w:tc>
        <w:tc>
          <w:tcPr>
            <w:tcW w:type="dxa" w:w="3120"/>
          </w:tcPr>
          <w:p>
            <w:pPr>
              <w:keepLines w:val="1"/>
              <w:keepNext w:val="1"/>
            </w:pPr>
            <w:r>
              <w:t>Estructura de dominios CSCRM (Identify, Protect, Detect, Respond, Recover aplicados a SC)</w:t>
            </w:r>
          </w:p>
        </w:tc>
      </w:tr>
      <w:tr>
        <w:trPr>
          <w:cantSplit w:val="1"/>
        </w:trPr>
        <w:tc>
          <w:tcPr>
            <w:tcW w:type="dxa" w:w="3120"/>
          </w:tcPr>
          <w:p>
            <w:pPr>
              <w:keepLines w:val="1"/>
              <w:keepNext w:val="1"/>
            </w:pPr>
            <w:r>
              <w:t>NIST CSF 2.0</w:t>
            </w:r>
          </w:p>
        </w:tc>
        <w:tc>
          <w:tcPr>
            <w:tcW w:type="dxa" w:w="3120"/>
          </w:tcPr>
          <w:p>
            <w:pPr>
              <w:keepLines w:val="1"/>
              <w:keepNext w:val="1"/>
            </w:pPr>
            <w:r>
              <w:t>Feb. 2024</w:t>
            </w:r>
          </w:p>
        </w:tc>
        <w:tc>
          <w:tcPr>
            <w:tcW w:type="dxa" w:w="3120"/>
          </w:tcPr>
          <w:p>
            <w:pPr>
              <w:keepLines w:val="1"/>
              <w:keepNext w:val="1"/>
            </w:pPr>
            <w:r>
              <w:t>Subcategorías GV.SC-01 a GV.SC-10 como eje de gobernanza</w:t>
            </w:r>
          </w:p>
        </w:tc>
      </w:tr>
      <w:tr>
        <w:trPr>
          <w:cantSplit w:val="1"/>
        </w:trPr>
        <w:tc>
          <w:tcPr>
            <w:tcW w:type="dxa" w:w="3120"/>
          </w:tcPr>
          <w:p>
            <w:pPr>
              <w:keepLines w:val="1"/>
              <w:keepNext w:val="1"/>
            </w:pPr>
            <w:r>
              <w:t>INCIBE-CERT IMC v2.8</w:t>
            </w:r>
          </w:p>
        </w:tc>
        <w:tc>
          <w:tcPr>
            <w:tcW w:type="dxa" w:w="3120"/>
          </w:tcPr>
          <w:p>
            <w:pPr>
              <w:keepLines w:val="1"/>
              <w:keepNext w:val="1"/>
            </w:pPr>
            <w:r>
              <w:t>Feb. 2023</w:t>
            </w:r>
          </w:p>
        </w:tc>
        <w:tc>
          <w:tcPr>
            <w:tcW w:type="dxa" w:w="3120"/>
          </w:tcPr>
          <w:p>
            <w:pPr>
              <w:keepLines w:val="1"/>
              <w:keepNext w:val="1"/>
            </w:pPr>
            <w:r>
              <w:t>46 métricas de ciberresiliencia; escala L0-L5; 8 indicadores nucleares CSCRM</w:t>
            </w:r>
          </w:p>
        </w:tc>
      </w:tr>
      <w:tr>
        <w:trPr>
          <w:cantSplit w:val="1"/>
        </w:trPr>
        <w:tc>
          <w:tcPr>
            <w:tcW w:type="dxa" w:w="3120"/>
          </w:tcPr>
          <w:p>
            <w:pPr>
              <w:keepLines w:val="1"/>
              <w:keepNext w:val="1"/>
            </w:pPr>
            <w:r>
              <w:t>CCN-CERT / ISMS Forum</w:t>
            </w:r>
          </w:p>
        </w:tc>
        <w:tc>
          <w:tcPr>
            <w:tcW w:type="dxa" w:w="3120"/>
          </w:tcPr>
          <w:p>
            <w:pPr>
              <w:keepLines w:val="1"/>
              <w:keepNext w:val="1"/>
            </w:pPr>
            <w:r>
              <w:t>Feb. 2025</w:t>
            </w:r>
          </w:p>
        </w:tc>
        <w:tc>
          <w:tcPr>
            <w:tcW w:type="dxa" w:w="3120"/>
          </w:tcPr>
          <w:p>
            <w:pPr>
              <w:keepLines w:val="1"/>
              <w:keepNext w:val="1"/>
            </w:pPr>
            <w:r>
              <w:t>Cuestionario Unificado de Cadena de Suministro; pirámide de supervisión de 6 niveles</w:t>
            </w:r>
          </w:p>
        </w:tc>
      </w:tr>
      <w:tr>
        <w:trPr>
          <w:cantSplit w:val="1"/>
        </w:trPr>
        <w:tc>
          <w:tcPr>
            <w:tcW w:type="dxa" w:w="3120"/>
          </w:tcPr>
          <w:p>
            <w:pPr>
              <w:keepLines w:val="1"/>
              <w:keepNext w:val="1"/>
            </w:pPr>
            <w:r>
              <w:t>ISO/IEC 27001:2022</w:t>
            </w:r>
          </w:p>
        </w:tc>
        <w:tc>
          <w:tcPr>
            <w:tcW w:type="dxa" w:w="3120"/>
          </w:tcPr>
          <w:p>
            <w:pPr>
              <w:keepLines w:val="1"/>
              <w:keepNext w:val="1"/>
            </w:pPr>
            <w:r>
              <w:t>Oct. 2022</w:t>
            </w:r>
          </w:p>
        </w:tc>
        <w:tc>
          <w:tcPr>
            <w:tcW w:type="dxa" w:w="3120"/>
          </w:tcPr>
          <w:p>
            <w:pPr>
              <w:keepLines w:val="1"/>
              <w:keepNext w:val="1"/>
            </w:pPr>
            <w:r>
              <w:t>Cláusulas 5.19–5.23 (seguridad en relaciones con proveedores)</w:t>
            </w:r>
          </w:p>
        </w:tc>
      </w:tr>
      <w:tr>
        <w:trPr>
          <w:cantSplit w:val="1"/>
        </w:trPr>
        <w:tc>
          <w:tcPr>
            <w:tcW w:type="dxa" w:w="3120"/>
          </w:tcPr>
          <w:p>
            <w:pPr>
              <w:keepLines w:val="1"/>
              <w:keepNext w:val="1"/>
            </w:pPr>
            <w:r>
              <w:t>ENISA NIS Investments 2025</w:t>
            </w:r>
          </w:p>
        </w:tc>
        <w:tc>
          <w:tcPr>
            <w:tcW w:type="dxa" w:w="3120"/>
          </w:tcPr>
          <w:p>
            <w:pPr>
              <w:keepLines w:val="1"/>
              <w:keepNext w:val="1"/>
            </w:pPr>
            <w:r>
              <w:t>Dic. 2025</w:t>
            </w:r>
          </w:p>
        </w:tc>
        <w:tc>
          <w:tcPr>
            <w:tcW w:type="dxa" w:w="3120"/>
          </w:tcPr>
          <w:p>
            <w:pPr>
              <w:keepLines w:val="1"/>
              <w:keepNext w:val="1"/>
            </w:pPr>
            <w:r>
              <w:t>Benchmarks europeos; indicadores de cumplimiento NIS2</w:t>
            </w:r>
          </w:p>
        </w:tc>
      </w:tr>
      <w:tr>
        <w:trPr>
          <w:cantSplit w:val="1"/>
        </w:trPr>
        <w:tc>
          <w:tcPr>
            <w:tcW w:type="dxa" w:w="3120"/>
          </w:tcPr>
          <w:p>
            <w:pPr>
              <w:keepLines w:val="1"/>
              <w:keepNext w:val="1"/>
            </w:pPr>
            <w:r>
              <w:t>ENISA NIS360</w:t>
            </w:r>
          </w:p>
        </w:tc>
        <w:tc>
          <w:tcPr>
            <w:tcW w:type="dxa" w:w="3120"/>
          </w:tcPr>
          <w:p>
            <w:pPr>
              <w:keepLines w:val="1"/>
              <w:keepNext w:val="1"/>
            </w:pPr>
            <w:r>
              <w:t>Mar. 2025</w:t>
            </w:r>
          </w:p>
        </w:tc>
        <w:tc>
          <w:tcPr>
            <w:tcW w:type="dxa" w:w="3120"/>
          </w:tcPr>
          <w:p>
            <w:pPr>
              <w:keepLines w:val="1"/>
              <w:keepNext w:val="1"/>
            </w:pPr>
            <w:r>
              <w:t>Madurez sectorial; sectores en zona de riesgo</w:t>
            </w:r>
          </w:p>
        </w:tc>
      </w:tr>
      <w:tr>
        <w:trPr>
          <w:cantSplit w:val="1"/>
        </w:trPr>
        <w:tc>
          <w:tcPr>
            <w:tcW w:type="dxa" w:w="3120"/>
          </w:tcPr>
          <w:p>
            <w:pPr>
              <w:keepLines w:val="1"/>
              <w:keepNext w:val="1"/>
            </w:pPr>
            <w:r>
              <w:t>ENS RD 311/2022</w:t>
            </w:r>
          </w:p>
        </w:tc>
        <w:tc>
          <w:tcPr>
            <w:tcW w:type="dxa" w:w="3120"/>
          </w:tcPr>
          <w:p>
            <w:pPr>
              <w:keepLines w:val="1"/>
              <w:keepNext w:val="1"/>
            </w:pPr>
            <w:r>
              <w:t>May. 2022</w:t>
            </w:r>
          </w:p>
        </w:tc>
        <w:tc>
          <w:tcPr>
            <w:tcW w:type="dxa" w:w="3120"/>
          </w:tcPr>
          <w:p>
            <w:pPr>
              <w:keepLines w:val="1"/>
              <w:keepNext w:val="1"/>
            </w:pPr>
            <w:r>
              <w:t>Marco normativo nacional; controles op.ext, figura POC</w:t>
            </w:r>
          </w:p>
        </w:tc>
      </w:tr>
      <w:tr>
        <w:trPr>
          <w:cantSplit w:val="1"/>
        </w:trPr>
        <w:tc>
          <w:tcPr>
            <w:tcW w:type="dxa" w:w="3120"/>
          </w:tcPr>
          <w:p>
            <w:pPr>
              <w:keepLines w:val="1"/>
              <w:keepNext w:val="1"/>
            </w:pPr>
            <w:r>
              <w:t>Foro Nacional de Ciberseguridad</w:t>
            </w:r>
          </w:p>
        </w:tc>
        <w:tc>
          <w:tcPr>
            <w:tcW w:type="dxa" w:w="3120"/>
          </w:tcPr>
          <w:p>
            <w:pPr>
              <w:keepLines w:val="1"/>
              <w:keepNext w:val="1"/>
            </w:pPr>
            <w:r>
              <w:t>Sep. 2025</w:t>
            </w:r>
          </w:p>
        </w:tc>
        <w:tc>
          <w:tcPr>
            <w:tcW w:type="dxa" w:w="3120"/>
          </w:tcPr>
          <w:p>
            <w:pPr>
              <w:keepLines w:val="1"/>
              <w:keepNext w:val="1"/>
            </w:pPr>
            <w:r>
              <w:t>Propuestas nacionales de medidas mínimas CSCRM</w:t>
            </w:r>
          </w:p>
        </w:tc>
      </w:tr>
      <w:tr>
        <w:trPr>
          <w:cantSplit w:val="1"/>
        </w:trPr>
        <w:tc>
          <w:tcPr>
            <w:tcW w:type="dxa" w:w="3120"/>
          </w:tcPr>
          <w:p>
            <w:pPr>
              <w:keepLines w:val="1"/>
            </w:pPr>
            <w:r>
              <w:t>Cipher/Prosegur Supply Chain Report</w:t>
            </w:r>
          </w:p>
        </w:tc>
        <w:tc>
          <w:tcPr>
            <w:tcW w:type="dxa" w:w="3120"/>
          </w:tcPr>
          <w:p>
            <w:pPr>
              <w:keepLines w:val="1"/>
            </w:pPr>
            <w:r>
              <w:t>Feb. 2026</w:t>
            </w:r>
          </w:p>
        </w:tc>
        <w:tc>
          <w:tcPr>
            <w:tcW w:type="dxa" w:w="3120"/>
          </w:tcPr>
          <w:p>
            <w:pPr>
              <w:keepLines w:val="1"/>
            </w:pPr>
            <w:r>
              <w:t>Indicadores cuantitativos de situación: duplicación de ataques, 254 días de detección</w:t>
            </w:r>
          </w:p>
        </w:tc>
      </w:tr>
    </w:tbl>
    <w:p/>
    <w:p>
      <w:pPr>
        <w:pStyle w:val="Heading3"/>
        <w:keepNext/>
        <w:keepLines/>
      </w:pPr>
      <w:r>
        <w:t>1.3. Hipótesis de Investigación</w:t>
      </w:r>
    </w:p>
    <w:p>
      <w:r>
        <w:t>La encuesta está diseñada para contrastar las siguientes hipótesis:</w:t>
      </w:r>
    </w:p>
    <w:p>
      <w:pPr>
        <w:pStyle w:val="ListBullet"/>
        <w:keepLines w:val="1"/>
        <w:keepNext w:val="1"/>
        <w:widowControl w:val="1"/>
      </w:pPr>
      <w:r>
        <w:t>H1: El nivel de madurez CSCRM en las organizaciones españolas de sectores esenciales es significativamente inferior al nivel necesario para cumplir con los requisitos del Anteproyecto de Ley de Coordinación y Gobernanza de la Ciberseguridad.</w:t>
      </w:r>
    </w:p>
    <w:p>
      <w:pPr>
        <w:pStyle w:val="ListBullet"/>
        <w:keepLines w:val="1"/>
        <w:keepNext w:val="1"/>
        <w:widowControl w:val="1"/>
      </w:pPr>
      <w:r>
        <w:t>H2: Existe una correlación positiva y significativa entre el tamaño organizativo y el nivel de madurez CSCRM.</w:t>
      </w:r>
    </w:p>
    <w:p>
      <w:pPr>
        <w:pStyle w:val="ListBullet"/>
        <w:keepLines w:val="1"/>
        <w:keepNext w:val="1"/>
        <w:widowControl w:val="1"/>
      </w:pPr>
      <w:r>
        <w:t>H3: Las organizaciones del sector financiero presentan mayor madurez CSCRM que el resto de sectores, dada la mayor presión regulatoria (DORA, requisitos del Banco de España / BCE).</w:t>
      </w:r>
    </w:p>
    <w:p>
      <w:pPr>
        <w:pStyle w:val="ListBullet"/>
        <w:keepLines w:val="1"/>
        <w:keepNext w:val="1"/>
        <w:widowControl w:val="1"/>
      </w:pPr>
      <w:r>
        <w:t>H4: Menos del 30% de las organizaciones encuestadas dispone de un proceso formal de gestión del ciclo de vida completo del proveedor (selección → onboarding → monitorización → offboarding).</w:t>
      </w:r>
    </w:p>
    <w:p>
      <w:pPr>
        <w:pStyle w:val="ListBullet"/>
        <w:keepLines w:val="1"/>
        <w:widowControl w:val="1"/>
      </w:pPr>
      <w:r>
        <w:t>H5: El SBOM y el análisis de riesgo n-tier son los indicadores con menor tasa de implementación.</w:t>
      </w:r>
    </w:p>
    <w:p>
      <w:pPr>
        <w:pStyle w:val="Heading2"/>
        <w:keepNext/>
        <w:keepLines/>
      </w:pPr>
      <w:r>
        <w:rPr>
          <w:color w:val="0066CC"/>
        </w:rPr>
        <w:t>2. Población Objetivo y Estrategia de Muestreo</w:t>
      </w:r>
    </w:p>
    <w:p>
      <w:pPr>
        <w:pStyle w:val="Heading3"/>
        <w:keepNext/>
        <w:keepLines/>
      </w:pPr>
      <w:r>
        <w:t>2.1. Población Objetivo</w:t>
      </w:r>
    </w:p>
    <w:p>
      <w:r>
        <w:t xml:space="preserve">La población objetivo del estudio está constituida por las </w:t>
      </w:r>
      <w:r>
        <w:rPr>
          <w:b/>
        </w:rPr>
        <w:t>organizaciones con sede o actividad principal en España</w:t>
      </w:r>
      <w:r>
        <w:t xml:space="preserve"> que pertenezcan a alguno de los sectores definidos como esenciales o importantes por la Directiva NIS2 y el Anteproyecto de Ley de Coordinación y Gobernanza de la Ciberseguridad:</w:t>
      </w:r>
    </w:p>
    <w:p>
      <w:r>
        <w:rPr>
          <w:b/>
        </w:rPr>
        <w:t>Sectores de alta criticidad (Anexo I NIS2):</w:t>
      </w:r>
      <w:r/>
      <w:r>
        <w:br/>
        <w:t>- Energía (electricidad, gas, petróleo, hidrógeno, calefacción/refrigeración urbana)</w:t>
      </w:r>
      <w:r/>
      <w:r>
        <w:br/>
        <w:t>- Transporte (aéreo, ferroviario, marítimo, por carretera)</w:t>
      </w:r>
      <w:r/>
      <w:r>
        <w:br/>
        <w:t>- Banca y entidades de crédito</w:t>
      </w:r>
      <w:r/>
      <w:r>
        <w:br/>
        <w:t>- Infraestructuras de mercados financieros</w:t>
      </w:r>
      <w:r/>
      <w:r>
        <w:br/>
        <w:t>- Sector sanitario</w:t>
      </w:r>
      <w:r/>
      <w:r>
        <w:br/>
        <w:t>- Agua potable</w:t>
      </w:r>
      <w:r/>
      <w:r>
        <w:br/>
        <w:t>- Aguas residuales</w:t>
      </w:r>
      <w:r/>
      <w:r>
        <w:br/>
        <w:t>- Infraestructura digital</w:t>
      </w:r>
      <w:r/>
      <w:r>
        <w:br/>
        <w:t>- Gestión de servicios TIC (B2B)</w:t>
      </w:r>
      <w:r/>
      <w:r>
        <w:br/>
        <w:t>- Espacio</w:t>
      </w:r>
      <w:r/>
      <w:r>
        <w:br/>
        <w:t>- Administración pública</w:t>
      </w:r>
    </w:p>
    <w:p>
      <w:r>
        <w:rPr>
          <w:b/>
        </w:rPr>
        <w:t>Sectores importantes (Anexo II NIS2):</w:t>
      </w:r>
      <w:r/>
      <w:r>
        <w:br/>
        <w:t>- Servicios postales y mensajería</w:t>
      </w:r>
      <w:r/>
      <w:r>
        <w:br/>
        <w:t>- Gestión de residuos</w:t>
      </w:r>
      <w:r/>
      <w:r>
        <w:br/>
        <w:t>- Fabricación, producción y distribución de sustancias y mezclas químicas</w:t>
      </w:r>
      <w:r/>
      <w:r>
        <w:br/>
        <w:t>- Producción, transformación y distribución de alimentos</w:t>
      </w:r>
      <w:r/>
      <w:r>
        <w:br/>
        <w:t>- Fabricación (dispositivos médicos, productos informáticos, equipos eléctricos, vehículos)</w:t>
      </w:r>
      <w:r/>
      <w:r>
        <w:br/>
        <w:t>- Proveedores de servicios digitales</w:t>
      </w:r>
      <w:r/>
      <w:r>
        <w:br/>
        <w:t>- Investigación</w:t>
      </w:r>
    </w:p>
    <w:p>
      <w:pPr>
        <w:pStyle w:val="Heading3"/>
        <w:keepNext/>
        <w:keepLines/>
      </w:pPr>
      <w:r>
        <w:t>2.2. Unidad de Análisis</w:t>
      </w:r>
    </w:p>
    <w:p>
      <w:r>
        <w:t xml:space="preserve">La unidad de análisis es la </w:t>
      </w:r>
      <w:r>
        <w:rPr>
          <w:b/>
        </w:rPr>
        <w:t>organización</w:t>
      </w:r>
      <w:r>
        <w:t>, representada por un único encuestado con perfil directivo en materia de ciberseguridad (CISO, CSO, CIO, DPO, Director de Riesgos o equivalente). En organizaciones sin un rol específico de ciberseguridad, el encuestado puede ser el Director de TI o el responsable designado para el cumplimiento NIS2.</w:t>
      </w:r>
    </w:p>
    <w:p>
      <w:pPr>
        <w:pStyle w:val="Heading3"/>
        <w:keepNext/>
        <w:keepLines/>
      </w:pPr>
      <w:r>
        <w:t>2.3. Estrategia de Muestreo</w:t>
      </w:r>
    </w:p>
    <w:p>
      <w:r>
        <w:t xml:space="preserve">Se propone un diseño de </w:t>
      </w:r>
      <w:r>
        <w:rPr>
          <w:b/>
        </w:rPr>
        <w:t>muestreo estratificado por sector y tamaño organizativo</w:t>
      </w:r>
      <w:r>
        <w:t>, con los siguientes parámetros:</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Parámetro</w:t>
            </w:r>
          </w:p>
        </w:tc>
        <w:tc>
          <w:tcPr>
            <w:tcW w:type="dxa" w:w="4680"/>
            <w:shd w:fill="0033CC"/>
          </w:tcPr>
          <w:p>
            <w:pPr>
              <w:keepLines w:val="1"/>
              <w:keepNext w:val="1"/>
            </w:pPr>
            <w:r>
              <w:rPr>
                <w:b/>
                <w:color w:val="FFFFFF"/>
              </w:rPr>
              <w:t>Valor</w:t>
            </w:r>
          </w:p>
        </w:tc>
      </w:tr>
      <w:tr>
        <w:trPr>
          <w:cantSplit w:val="1"/>
        </w:trPr>
        <w:tc>
          <w:tcPr>
            <w:tcW w:type="dxa" w:w="4680"/>
          </w:tcPr>
          <w:p>
            <w:pPr>
              <w:keepLines w:val="1"/>
              <w:keepNext w:val="1"/>
            </w:pPr>
            <w:r>
              <w:t>Tamaño muestral mínimo (estudio sectorial representativo)</w:t>
            </w:r>
          </w:p>
        </w:tc>
        <w:tc>
          <w:tcPr>
            <w:tcW w:type="dxa" w:w="4680"/>
          </w:tcPr>
          <w:p>
            <w:pPr>
              <w:keepLines w:val="1"/>
              <w:keepNext w:val="1"/>
            </w:pPr>
            <w:r>
              <w:t>n = 385 (margen de error ±5%, nivel de confianza 95%)</w:t>
            </w:r>
          </w:p>
        </w:tc>
      </w:tr>
      <w:tr>
        <w:trPr>
          <w:cantSplit w:val="1"/>
        </w:trPr>
        <w:tc>
          <w:tcPr>
            <w:tcW w:type="dxa" w:w="4680"/>
          </w:tcPr>
          <w:p>
            <w:pPr>
              <w:keepLines w:val="1"/>
              <w:keepNext w:val="1"/>
            </w:pPr>
            <w:r>
              <w:t>Tamaño muestral recomendado</w:t>
            </w:r>
          </w:p>
        </w:tc>
        <w:tc>
          <w:tcPr>
            <w:tcW w:type="dxa" w:w="4680"/>
          </w:tcPr>
          <w:p>
            <w:pPr>
              <w:keepLines w:val="1"/>
              <w:keepNext w:val="1"/>
            </w:pPr>
            <w:r>
              <w:t>n = 600 (para análisis por sectores con subgrupos)</w:t>
            </w:r>
          </w:p>
        </w:tc>
      </w:tr>
      <w:tr>
        <w:trPr>
          <w:cantSplit w:val="1"/>
        </w:trPr>
        <w:tc>
          <w:tcPr>
            <w:tcW w:type="dxa" w:w="4680"/>
          </w:tcPr>
          <w:p>
            <w:pPr>
              <w:keepLines w:val="1"/>
              <w:keepNext w:val="1"/>
            </w:pPr>
            <w:r>
              <w:t>Estratificación primaria</w:t>
            </w:r>
          </w:p>
        </w:tc>
        <w:tc>
          <w:tcPr>
            <w:tcW w:type="dxa" w:w="4680"/>
          </w:tcPr>
          <w:p>
            <w:pPr>
              <w:keepLines w:val="1"/>
              <w:keepNext w:val="1"/>
            </w:pPr>
            <w:r>
              <w:t>Sector de actividad (11 sectores esenciales + 7 importantes)</w:t>
            </w:r>
          </w:p>
        </w:tc>
      </w:tr>
      <w:tr>
        <w:trPr>
          <w:cantSplit w:val="1"/>
        </w:trPr>
        <w:tc>
          <w:tcPr>
            <w:tcW w:type="dxa" w:w="4680"/>
          </w:tcPr>
          <w:p>
            <w:pPr>
              <w:keepLines w:val="1"/>
              <w:keepNext w:val="1"/>
            </w:pPr>
            <w:r>
              <w:t>Estratificación secundaria</w:t>
            </w:r>
          </w:p>
        </w:tc>
        <w:tc>
          <w:tcPr>
            <w:tcW w:type="dxa" w:w="4680"/>
          </w:tcPr>
          <w:p>
            <w:pPr>
              <w:keepLines w:val="1"/>
              <w:keepNext w:val="1"/>
            </w:pPr>
            <w:r>
              <w:t>Tamaño organizativo (micro, pequeña, mediana, grande, corporación)</w:t>
            </w:r>
          </w:p>
        </w:tc>
      </w:tr>
      <w:tr>
        <w:trPr>
          <w:cantSplit w:val="1"/>
        </w:trPr>
        <w:tc>
          <w:tcPr>
            <w:tcW w:type="dxa" w:w="4680"/>
          </w:tcPr>
          <w:p>
            <w:pPr>
              <w:keepLines w:val="1"/>
            </w:pPr>
            <w:r>
              <w:t>Cuota mínima por estrato</w:t>
            </w:r>
          </w:p>
        </w:tc>
        <w:tc>
          <w:tcPr>
            <w:tcW w:type="dxa" w:w="4680"/>
          </w:tcPr>
          <w:p>
            <w:pPr>
              <w:keepLines w:val="1"/>
            </w:pPr>
            <w:r>
              <w:t>n = 15 por celda sector × tamaño</w:t>
            </w:r>
          </w:p>
        </w:tc>
      </w:tr>
    </w:tbl>
    <w:p/>
    <w:p>
      <w:pPr>
        <w:pStyle w:val="Heading3"/>
        <w:keepNext/>
        <w:keepLines/>
      </w:pPr>
      <w:r>
        <w:t>2.4. Métodos de Distribución</w:t>
      </w:r>
    </w:p>
    <w:p>
      <w:pPr>
        <w:pStyle w:val="ListBullet"/>
        <w:keepLines w:val="1"/>
        <w:keepNext w:val="1"/>
        <w:widowControl w:val="1"/>
      </w:pPr>
      <w:r>
        <w:t>Canal primario: Distribución digital mediante plataforma de encuestas segura (LimeSurvey autohospedado o Microsoft Forms con cifrado en tránsito y en reposo)</w:t>
      </w:r>
    </w:p>
    <w:p>
      <w:pPr>
        <w:pStyle w:val="ListBullet"/>
        <w:keepLines w:val="1"/>
        <w:keepNext w:val="1"/>
        <w:widowControl w:val="1"/>
      </w:pPr>
      <w:r>
        <w:t>Canales de difusión: CCN-CERT, INCIBE, Foro Nacional de Ciberseguridad, ISMS Forum Spain, CCI (Centro de Ciberseguridad Industrial), asociaciones sectoriales (SEOPAN, UNESA, AEB, Farmaindustria, SEIS)</w:t>
      </w:r>
    </w:p>
    <w:p>
      <w:pPr>
        <w:pStyle w:val="ListBullet"/>
        <w:keepLines w:val="1"/>
        <w:widowControl w:val="1"/>
      </w:pPr>
      <w:r>
        <w:t>Canal complementario: Entrevistas semiestructuradas con una submuestra de n = 30 encuestados de alta representatividad para triangulación cualitativa</w:t>
      </w:r>
    </w:p>
    <w:p>
      <w:pPr>
        <w:pStyle w:val="Heading2"/>
        <w:keepNext/>
        <w:keepLines/>
      </w:pPr>
      <w:r>
        <w:rPr>
          <w:color w:val="0066CC"/>
        </w:rPr>
        <w:t>3. Estructura de la Encuesta y Descripción de Bloques</w:t>
      </w:r>
    </w:p>
    <w:p>
      <w:r>
        <w:t xml:space="preserve">La encuesta se organiza en </w:t>
      </w:r>
      <w:r>
        <w:rPr>
          <w:b/>
        </w:rPr>
        <w:t>12 bloques temáticos</w:t>
      </w:r>
      <w:r>
        <w:t xml:space="preserve"> con un total de </w:t>
      </w:r>
      <w:r>
        <w:rPr>
          <w:b/>
        </w:rPr>
        <w:t>55 preguntas principales</w:t>
      </w:r>
      <w:r>
        <w:t>:</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Bloque</w:t>
            </w:r>
          </w:p>
        </w:tc>
        <w:tc>
          <w:tcPr>
            <w:tcW w:type="dxa" w:w="2340"/>
            <w:shd w:fill="0033CC"/>
          </w:tcPr>
          <w:p>
            <w:pPr>
              <w:keepLines w:val="1"/>
              <w:keepNext w:val="1"/>
            </w:pPr>
            <w:r>
              <w:rPr>
                <w:b/>
                <w:color w:val="FFFFFF"/>
              </w:rPr>
              <w:t>Temática</w:t>
            </w:r>
          </w:p>
        </w:tc>
        <w:tc>
          <w:tcPr>
            <w:tcW w:type="dxa" w:w="2340"/>
            <w:shd w:fill="0033CC"/>
          </w:tcPr>
          <w:p>
            <w:pPr>
              <w:keepLines w:val="1"/>
              <w:keepNext w:val="1"/>
            </w:pPr>
            <w:r>
              <w:rPr>
                <w:b/>
                <w:color w:val="FFFFFF"/>
              </w:rPr>
              <w:t>N.º Preguntas</w:t>
            </w:r>
          </w:p>
        </w:tc>
        <w:tc>
          <w:tcPr>
            <w:tcW w:type="dxa" w:w="2340"/>
            <w:shd w:fill="0033CC"/>
          </w:tcPr>
          <w:p>
            <w:pPr>
              <w:keepLines w:val="1"/>
              <w:keepNext w:val="1"/>
            </w:pPr>
            <w:r>
              <w:rPr>
                <w:b/>
                <w:color w:val="FFFFFF"/>
              </w:rPr>
              <w:t>Tipo predominante</w:t>
            </w:r>
          </w:p>
        </w:tc>
      </w:tr>
      <w:tr>
        <w:trPr>
          <w:cantSplit w:val="1"/>
        </w:trPr>
        <w:tc>
          <w:tcPr>
            <w:tcW w:type="dxa" w:w="2340"/>
          </w:tcPr>
          <w:p>
            <w:pPr>
              <w:keepLines w:val="1"/>
              <w:keepNext w:val="1"/>
            </w:pPr>
            <w:r>
              <w:t>0</w:t>
            </w:r>
          </w:p>
        </w:tc>
        <w:tc>
          <w:tcPr>
            <w:tcW w:type="dxa" w:w="2340"/>
          </w:tcPr>
          <w:p>
            <w:pPr>
              <w:keepLines w:val="1"/>
              <w:keepNext w:val="1"/>
            </w:pPr>
            <w:r>
              <w:t>Perfil organizativo</w:t>
            </w:r>
          </w:p>
        </w:tc>
        <w:tc>
          <w:tcPr>
            <w:tcW w:type="dxa" w:w="2340"/>
          </w:tcPr>
          <w:p>
            <w:pPr>
              <w:keepLines w:val="1"/>
              <w:keepNext w:val="1"/>
            </w:pPr>
            <w:r>
              <w:t>6</w:t>
            </w:r>
          </w:p>
        </w:tc>
        <w:tc>
          <w:tcPr>
            <w:tcW w:type="dxa" w:w="2340"/>
          </w:tcPr>
          <w:p>
            <w:pPr>
              <w:keepLines w:val="1"/>
              <w:keepNext w:val="1"/>
            </w:pPr>
            <w:r>
              <w:t>Selección única / múltiple</w:t>
            </w:r>
          </w:p>
        </w:tc>
      </w:tr>
      <w:tr>
        <w:trPr>
          <w:cantSplit w:val="1"/>
        </w:trPr>
        <w:tc>
          <w:tcPr>
            <w:tcW w:type="dxa" w:w="2340"/>
          </w:tcPr>
          <w:p>
            <w:pPr>
              <w:keepLines w:val="1"/>
              <w:keepNext w:val="1"/>
            </w:pPr>
            <w:r>
              <w:t>I</w:t>
            </w:r>
          </w:p>
        </w:tc>
        <w:tc>
          <w:tcPr>
            <w:tcW w:type="dxa" w:w="2340"/>
          </w:tcPr>
          <w:p>
            <w:pPr>
              <w:keepLines w:val="1"/>
              <w:keepNext w:val="1"/>
            </w:pPr>
            <w:r>
              <w:t>Gobernanza y programa CSCRM</w:t>
            </w:r>
          </w:p>
        </w:tc>
        <w:tc>
          <w:tcPr>
            <w:tcW w:type="dxa" w:w="2340"/>
          </w:tcPr>
          <w:p>
            <w:pPr>
              <w:keepLines w:val="1"/>
              <w:keepNext w:val="1"/>
            </w:pPr>
            <w:r>
              <w:t>8</w:t>
            </w:r>
          </w:p>
        </w:tc>
        <w:tc>
          <w:tcPr>
            <w:tcW w:type="dxa" w:w="2340"/>
          </w:tcPr>
          <w:p>
            <w:pPr>
              <w:keepLines w:val="1"/>
              <w:keepNext w:val="1"/>
            </w:pPr>
            <w:r>
              <w:t>Escala Likert L0-L5 + selección</w:t>
            </w:r>
          </w:p>
        </w:tc>
      </w:tr>
      <w:tr>
        <w:trPr>
          <w:cantSplit w:val="1"/>
        </w:trPr>
        <w:tc>
          <w:tcPr>
            <w:tcW w:type="dxa" w:w="2340"/>
          </w:tcPr>
          <w:p>
            <w:pPr>
              <w:keepLines w:val="1"/>
              <w:keepNext w:val="1"/>
            </w:pPr>
            <w:r>
              <w:t>II</w:t>
            </w:r>
          </w:p>
        </w:tc>
        <w:tc>
          <w:tcPr>
            <w:tcW w:type="dxa" w:w="2340"/>
          </w:tcPr>
          <w:p>
            <w:pPr>
              <w:keepLines w:val="1"/>
              <w:keepNext w:val="1"/>
            </w:pPr>
            <w:r>
              <w:t>Inventario, clasificación y due diligence</w:t>
            </w:r>
          </w:p>
        </w:tc>
        <w:tc>
          <w:tcPr>
            <w:tcW w:type="dxa" w:w="2340"/>
          </w:tcPr>
          <w:p>
            <w:pPr>
              <w:keepLines w:val="1"/>
              <w:keepNext w:val="1"/>
            </w:pPr>
            <w:r>
              <w:t>8</w:t>
            </w:r>
          </w:p>
        </w:tc>
        <w:tc>
          <w:tcPr>
            <w:tcW w:type="dxa" w:w="2340"/>
          </w:tcPr>
          <w:p>
            <w:pPr>
              <w:keepLines w:val="1"/>
              <w:keepNext w:val="1"/>
            </w:pPr>
            <w:r>
              <w:t>Escala Likert L0-L5 + selección</w:t>
            </w:r>
          </w:p>
        </w:tc>
      </w:tr>
      <w:tr>
        <w:trPr>
          <w:cantSplit w:val="1"/>
        </w:trPr>
        <w:tc>
          <w:tcPr>
            <w:tcW w:type="dxa" w:w="2340"/>
          </w:tcPr>
          <w:p>
            <w:pPr>
              <w:keepLines w:val="1"/>
              <w:keepNext w:val="1"/>
            </w:pPr>
            <w:r>
              <w:t>III</w:t>
            </w:r>
          </w:p>
        </w:tc>
        <w:tc>
          <w:tcPr>
            <w:tcW w:type="dxa" w:w="2340"/>
          </w:tcPr>
          <w:p>
            <w:pPr>
              <w:keepLines w:val="1"/>
              <w:keepNext w:val="1"/>
            </w:pPr>
            <w:r>
              <w:t>Requisitos contractuales</w:t>
            </w:r>
          </w:p>
        </w:tc>
        <w:tc>
          <w:tcPr>
            <w:tcW w:type="dxa" w:w="2340"/>
          </w:tcPr>
          <w:p>
            <w:pPr>
              <w:keepLines w:val="1"/>
              <w:keepNext w:val="1"/>
            </w:pPr>
            <w:r>
              <w:t>6</w:t>
            </w:r>
          </w:p>
        </w:tc>
        <w:tc>
          <w:tcPr>
            <w:tcW w:type="dxa" w:w="2340"/>
          </w:tcPr>
          <w:p>
            <w:pPr>
              <w:keepLines w:val="1"/>
              <w:keepNext w:val="1"/>
            </w:pPr>
            <w:r>
              <w:t>Escala Likert L0-L5</w:t>
            </w:r>
          </w:p>
        </w:tc>
      </w:tr>
      <w:tr>
        <w:trPr>
          <w:cantSplit w:val="1"/>
        </w:trPr>
        <w:tc>
          <w:tcPr>
            <w:tcW w:type="dxa" w:w="2340"/>
          </w:tcPr>
          <w:p>
            <w:pPr>
              <w:keepLines w:val="1"/>
              <w:keepNext w:val="1"/>
            </w:pPr>
            <w:r>
              <w:t>IV</w:t>
            </w:r>
          </w:p>
        </w:tc>
        <w:tc>
          <w:tcPr>
            <w:tcW w:type="dxa" w:w="2340"/>
          </w:tcPr>
          <w:p>
            <w:pPr>
              <w:keepLines w:val="1"/>
              <w:keepNext w:val="1"/>
            </w:pPr>
            <w:r>
              <w:t>Supervisión continua y monitorización</w:t>
            </w:r>
          </w:p>
        </w:tc>
        <w:tc>
          <w:tcPr>
            <w:tcW w:type="dxa" w:w="2340"/>
          </w:tcPr>
          <w:p>
            <w:pPr>
              <w:keepLines w:val="1"/>
              <w:keepNext w:val="1"/>
            </w:pPr>
            <w:r>
              <w:t>7</w:t>
            </w:r>
          </w:p>
        </w:tc>
        <w:tc>
          <w:tcPr>
            <w:tcW w:type="dxa" w:w="2340"/>
          </w:tcPr>
          <w:p>
            <w:pPr>
              <w:keepLines w:val="1"/>
              <w:keepNext w:val="1"/>
            </w:pPr>
            <w:r>
              <w:t>Escala Likert + cuantitativo</w:t>
            </w:r>
          </w:p>
        </w:tc>
      </w:tr>
      <w:tr>
        <w:trPr>
          <w:cantSplit w:val="1"/>
        </w:trPr>
        <w:tc>
          <w:tcPr>
            <w:tcW w:type="dxa" w:w="2340"/>
          </w:tcPr>
          <w:p>
            <w:pPr>
              <w:keepLines w:val="1"/>
              <w:keepNext w:val="1"/>
            </w:pPr>
            <w:r>
              <w:t>V</w:t>
            </w:r>
          </w:p>
        </w:tc>
        <w:tc>
          <w:tcPr>
            <w:tcW w:type="dxa" w:w="2340"/>
          </w:tcPr>
          <w:p>
            <w:pPr>
              <w:keepLines w:val="1"/>
              <w:keepNext w:val="1"/>
            </w:pPr>
            <w:r>
              <w:t>Respuesta a incidentes con terceros</w:t>
            </w:r>
          </w:p>
        </w:tc>
        <w:tc>
          <w:tcPr>
            <w:tcW w:type="dxa" w:w="2340"/>
          </w:tcPr>
          <w:p>
            <w:pPr>
              <w:keepLines w:val="1"/>
              <w:keepNext w:val="1"/>
            </w:pPr>
            <w:r>
              <w:t>4</w:t>
            </w:r>
          </w:p>
        </w:tc>
        <w:tc>
          <w:tcPr>
            <w:tcW w:type="dxa" w:w="2340"/>
          </w:tcPr>
          <w:p>
            <w:pPr>
              <w:keepLines w:val="1"/>
              <w:keepNext w:val="1"/>
            </w:pPr>
            <w:r>
              <w:t>Escala Likert L0-L5</w:t>
            </w:r>
          </w:p>
        </w:tc>
      </w:tr>
      <w:tr>
        <w:trPr>
          <w:cantSplit w:val="1"/>
        </w:trPr>
        <w:tc>
          <w:tcPr>
            <w:tcW w:type="dxa" w:w="2340"/>
          </w:tcPr>
          <w:p>
            <w:pPr>
              <w:keepLines w:val="1"/>
              <w:keepNext w:val="1"/>
            </w:pPr>
            <w:r>
              <w:t>VI</w:t>
            </w:r>
          </w:p>
        </w:tc>
        <w:tc>
          <w:tcPr>
            <w:tcW w:type="dxa" w:w="2340"/>
          </w:tcPr>
          <w:p>
            <w:pPr>
              <w:keepLines w:val="1"/>
              <w:keepNext w:val="1"/>
            </w:pPr>
            <w:r>
              <w:t>Continuidad de negocio y resiliencia</w:t>
            </w:r>
          </w:p>
        </w:tc>
        <w:tc>
          <w:tcPr>
            <w:tcW w:type="dxa" w:w="2340"/>
          </w:tcPr>
          <w:p>
            <w:pPr>
              <w:keepLines w:val="1"/>
              <w:keepNext w:val="1"/>
            </w:pPr>
            <w:r>
              <w:t>3</w:t>
            </w:r>
          </w:p>
        </w:tc>
        <w:tc>
          <w:tcPr>
            <w:tcW w:type="dxa" w:w="2340"/>
          </w:tcPr>
          <w:p>
            <w:pPr>
              <w:keepLines w:val="1"/>
              <w:keepNext w:val="1"/>
            </w:pPr>
            <w:r>
              <w:t>Escala Likert L0-L5</w:t>
            </w:r>
          </w:p>
        </w:tc>
      </w:tr>
      <w:tr>
        <w:trPr>
          <w:cantSplit w:val="1"/>
        </w:trPr>
        <w:tc>
          <w:tcPr>
            <w:tcW w:type="dxa" w:w="2340"/>
          </w:tcPr>
          <w:p>
            <w:pPr>
              <w:keepLines w:val="1"/>
              <w:keepNext w:val="1"/>
            </w:pPr>
            <w:r>
              <w:t>VII</w:t>
            </w:r>
          </w:p>
        </w:tc>
        <w:tc>
          <w:tcPr>
            <w:tcW w:type="dxa" w:w="2340"/>
          </w:tcPr>
          <w:p>
            <w:pPr>
              <w:keepLines w:val="1"/>
              <w:keepNext w:val="1"/>
            </w:pPr>
            <w:r>
              <w:t>SBOM, PQC e IA en cadena de suministro</w:t>
            </w:r>
          </w:p>
        </w:tc>
        <w:tc>
          <w:tcPr>
            <w:tcW w:type="dxa" w:w="2340"/>
          </w:tcPr>
          <w:p>
            <w:pPr>
              <w:keepLines w:val="1"/>
              <w:keepNext w:val="1"/>
            </w:pPr>
            <w:r>
              <w:t>8</w:t>
            </w:r>
          </w:p>
        </w:tc>
        <w:tc>
          <w:tcPr>
            <w:tcW w:type="dxa" w:w="2340"/>
          </w:tcPr>
          <w:p>
            <w:pPr>
              <w:keepLines w:val="1"/>
              <w:keepNext w:val="1"/>
            </w:pPr>
            <w:r>
              <w:t>Selección + escala</w:t>
            </w:r>
          </w:p>
        </w:tc>
      </w:tr>
      <w:tr>
        <w:trPr>
          <w:cantSplit w:val="1"/>
        </w:trPr>
        <w:tc>
          <w:tcPr>
            <w:tcW w:type="dxa" w:w="2340"/>
          </w:tcPr>
          <w:p>
            <w:pPr>
              <w:keepLines w:val="1"/>
              <w:keepNext w:val="1"/>
            </w:pPr>
            <w:r>
              <w:t>VIII</w:t>
            </w:r>
          </w:p>
        </w:tc>
        <w:tc>
          <w:tcPr>
            <w:tcW w:type="dxa" w:w="2340"/>
          </w:tcPr>
          <w:p>
            <w:pPr>
              <w:keepLines w:val="1"/>
              <w:keepNext w:val="1"/>
            </w:pPr>
            <w:r>
              <w:t>Zero Trust y acceso de proveedores</w:t>
            </w:r>
          </w:p>
        </w:tc>
        <w:tc>
          <w:tcPr>
            <w:tcW w:type="dxa" w:w="2340"/>
          </w:tcPr>
          <w:p>
            <w:pPr>
              <w:keepLines w:val="1"/>
              <w:keepNext w:val="1"/>
            </w:pPr>
            <w:r>
              <w:t>5</w:t>
            </w:r>
          </w:p>
        </w:tc>
        <w:tc>
          <w:tcPr>
            <w:tcW w:type="dxa" w:w="2340"/>
          </w:tcPr>
          <w:p>
            <w:pPr>
              <w:keepLines w:val="1"/>
              <w:keepNext w:val="1"/>
            </w:pPr>
            <w:r>
              <w:t>Escala Likert L0-L5</w:t>
            </w:r>
          </w:p>
        </w:tc>
      </w:tr>
      <w:tr>
        <w:trPr>
          <w:cantSplit w:val="1"/>
        </w:trPr>
        <w:tc>
          <w:tcPr>
            <w:tcW w:type="dxa" w:w="2340"/>
          </w:tcPr>
          <w:p>
            <w:pPr>
              <w:keepLines w:val="1"/>
              <w:keepNext w:val="1"/>
            </w:pPr>
            <w:r>
              <w:t>IX</w:t>
            </w:r>
          </w:p>
        </w:tc>
        <w:tc>
          <w:tcPr>
            <w:tcW w:type="dxa" w:w="2340"/>
          </w:tcPr>
          <w:p>
            <w:pPr>
              <w:keepLines w:val="1"/>
              <w:keepNext w:val="1"/>
            </w:pPr>
            <w:r>
              <w:t>Ecosistemas de intercambio de información</w:t>
            </w:r>
          </w:p>
        </w:tc>
        <w:tc>
          <w:tcPr>
            <w:tcW w:type="dxa" w:w="2340"/>
          </w:tcPr>
          <w:p>
            <w:pPr>
              <w:keepLines w:val="1"/>
              <w:keepNext w:val="1"/>
            </w:pPr>
            <w:r>
              <w:t>4</w:t>
            </w:r>
          </w:p>
        </w:tc>
        <w:tc>
          <w:tcPr>
            <w:tcW w:type="dxa" w:w="2340"/>
          </w:tcPr>
          <w:p>
            <w:pPr>
              <w:keepLines w:val="1"/>
              <w:keepNext w:val="1"/>
            </w:pPr>
            <w:r>
              <w:t>Selección única/múltiple</w:t>
            </w:r>
          </w:p>
        </w:tc>
      </w:tr>
      <w:tr>
        <w:trPr>
          <w:cantSplit w:val="1"/>
        </w:trPr>
        <w:tc>
          <w:tcPr>
            <w:tcW w:type="dxa" w:w="2340"/>
          </w:tcPr>
          <w:p>
            <w:pPr>
              <w:keepLines w:val="1"/>
              <w:keepNext w:val="1"/>
            </w:pPr>
            <w:r>
              <w:t>X</w:t>
            </w:r>
          </w:p>
        </w:tc>
        <w:tc>
          <w:tcPr>
            <w:tcW w:type="dxa" w:w="2340"/>
          </w:tcPr>
          <w:p>
            <w:pPr>
              <w:keepLines w:val="1"/>
              <w:keepNext w:val="1"/>
            </w:pPr>
            <w:r>
              <w:t>Cumplimiento, auditoría y ciclo de vida</w:t>
            </w:r>
          </w:p>
        </w:tc>
        <w:tc>
          <w:tcPr>
            <w:tcW w:type="dxa" w:w="2340"/>
          </w:tcPr>
          <w:p>
            <w:pPr>
              <w:keepLines w:val="1"/>
              <w:keepNext w:val="1"/>
            </w:pPr>
            <w:r>
              <w:t>5</w:t>
            </w:r>
          </w:p>
        </w:tc>
        <w:tc>
          <w:tcPr>
            <w:tcW w:type="dxa" w:w="2340"/>
          </w:tcPr>
          <w:p>
            <w:pPr>
              <w:keepLines w:val="1"/>
              <w:keepNext w:val="1"/>
            </w:pPr>
            <w:r>
              <w:t>Escala Likert + selección múltiple</w:t>
            </w:r>
          </w:p>
        </w:tc>
      </w:tr>
      <w:tr>
        <w:trPr>
          <w:cantSplit w:val="1"/>
        </w:trPr>
        <w:tc>
          <w:tcPr>
            <w:tcW w:type="dxa" w:w="2340"/>
          </w:tcPr>
          <w:p>
            <w:pPr>
              <w:keepLines w:val="1"/>
            </w:pPr>
            <w:r>
              <w:t>XI</w:t>
            </w:r>
          </w:p>
        </w:tc>
        <w:tc>
          <w:tcPr>
            <w:tcW w:type="dxa" w:w="2340"/>
          </w:tcPr>
          <w:p>
            <w:pPr>
              <w:keepLines w:val="1"/>
            </w:pPr>
            <w:r>
              <w:t>Madurez global, inversión y prioridades</w:t>
            </w:r>
          </w:p>
        </w:tc>
        <w:tc>
          <w:tcPr>
            <w:tcW w:type="dxa" w:w="2340"/>
          </w:tcPr>
          <w:p>
            <w:pPr>
              <w:keepLines w:val="1"/>
            </w:pPr>
            <w:r>
              <w:t>6</w:t>
            </w:r>
          </w:p>
        </w:tc>
        <w:tc>
          <w:tcPr>
            <w:tcW w:type="dxa" w:w="2340"/>
          </w:tcPr>
          <w:p>
            <w:pPr>
              <w:keepLines w:val="1"/>
            </w:pPr>
            <w:r>
              <w:t>Mixto (escala, selección, texto libre)</w:t>
            </w:r>
          </w:p>
        </w:tc>
      </w:tr>
    </w:tbl>
    <w:p/>
    <w:p>
      <w:pPr>
        <w:pStyle w:val="Heading2"/>
        <w:keepNext/>
        <w:keepLines/>
      </w:pPr>
      <w:r>
        <w:rPr>
          <w:color w:val="0066CC"/>
        </w:rPr>
        <w:t>4. Sistema de Puntuación e Índice de Gestión de Madurez (IGM)</w:t>
      </w:r>
    </w:p>
    <w:p>
      <w:pPr>
        <w:pStyle w:val="Heading3"/>
        <w:keepNext/>
        <w:keepLines/>
      </w:pPr>
      <w:r>
        <w:t>4.1. Principios de Puntuación</w:t>
      </w:r>
    </w:p>
    <w:p>
      <w:r>
        <w:t>Las preguntas con escala de madurez L0-L5 se puntúan directamente con valores de 0 a 5. Las preguntas de selección única se convierten a escala 0-5 según la tabla de conversión incluida en la Plantilla Excel (Documento e). Las preguntas de selección múltiple generan subíndices por dimensión.</w:t>
      </w:r>
    </w:p>
    <w:p>
      <w:pPr>
        <w:pStyle w:val="Heading3"/>
        <w:keepNext/>
        <w:keepLines/>
      </w:pPr>
      <w:r>
        <w:t>4.2. Cálculo del IGM</w:t>
      </w:r>
    </w:p>
    <w:p>
      <w:r>
        <w:t xml:space="preserve">El </w:t>
      </w:r>
      <w:r>
        <w:rPr>
          <w:b/>
        </w:rPr>
        <w:t>Índice de Gestión de Madurez (IGM)</w:t>
      </w:r>
      <w:r>
        <w:t xml:space="preserve"> se calcula como la media ponderada de los cinco dominios funcionales:</w:t>
      </w:r>
    </w:p>
    <w:p>
      <w:pPr>
        <w:pStyle w:val="NoSpacing"/>
        <w:keepLines/>
        <w:shd w:fill="F5F5F5"/>
      </w:pPr>
      <w:r>
        <w:rPr>
          <w:rFonts w:ascii="Courier New" w:hAnsi="Courier New"/>
          <w:sz w:val="18"/>
        </w:rPr>
        <w:t>IGM = Σ (Puntuación_dominio_i × Peso_dominio_i) / Σ Peso_dominio_i</w:t>
        <w:br/>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Dominio</w:t>
            </w:r>
          </w:p>
        </w:tc>
        <w:tc>
          <w:tcPr>
            <w:tcW w:type="dxa" w:w="3120"/>
            <w:shd w:fill="0033CC"/>
          </w:tcPr>
          <w:p>
            <w:pPr>
              <w:keepLines w:val="1"/>
              <w:keepNext w:val="1"/>
            </w:pPr>
            <w:r>
              <w:rPr>
                <w:b/>
                <w:color w:val="FFFFFF"/>
              </w:rPr>
              <w:t>Peso</w:t>
            </w:r>
          </w:p>
        </w:tc>
        <w:tc>
          <w:tcPr>
            <w:tcW w:type="dxa" w:w="3120"/>
            <w:shd w:fill="0033CC"/>
          </w:tcPr>
          <w:p>
            <w:pPr>
              <w:keepLines w:val="1"/>
              <w:keepNext w:val="1"/>
            </w:pPr>
            <w:r>
              <w:rPr>
                <w:b/>
                <w:color w:val="FFFFFF"/>
              </w:rPr>
              <w:t>Justificación</w:t>
            </w:r>
          </w:p>
        </w:tc>
      </w:tr>
      <w:tr>
        <w:trPr>
          <w:cantSplit w:val="1"/>
        </w:trPr>
        <w:tc>
          <w:tcPr>
            <w:tcW w:type="dxa" w:w="3120"/>
          </w:tcPr>
          <w:p>
            <w:pPr>
              <w:keepLines w:val="1"/>
              <w:keepNext w:val="1"/>
            </w:pPr>
            <w:r>
              <w:t>Gobernanza y Programa (Bloques 0, I)</w:t>
            </w:r>
          </w:p>
        </w:tc>
        <w:tc>
          <w:tcPr>
            <w:tcW w:type="dxa" w:w="3120"/>
          </w:tcPr>
          <w:p>
            <w:pPr>
              <w:keepLines w:val="1"/>
              <w:keepNext w:val="1"/>
            </w:pPr>
            <w:r>
              <w:t>20%</w:t>
            </w:r>
          </w:p>
        </w:tc>
        <w:tc>
          <w:tcPr>
            <w:tcW w:type="dxa" w:w="3120"/>
          </w:tcPr>
          <w:p>
            <w:pPr>
              <w:keepLines w:val="1"/>
              <w:keepNext w:val="1"/>
            </w:pPr>
            <w:r>
              <w:t>Base estructural sin la cual el resto es cosmético</w:t>
            </w:r>
          </w:p>
        </w:tc>
      </w:tr>
      <w:tr>
        <w:trPr>
          <w:cantSplit w:val="1"/>
        </w:trPr>
        <w:tc>
          <w:tcPr>
            <w:tcW w:type="dxa" w:w="3120"/>
          </w:tcPr>
          <w:p>
            <w:pPr>
              <w:keepLines w:val="1"/>
              <w:keepNext w:val="1"/>
            </w:pPr>
            <w:r>
              <w:t>Identificación y Evaluación (Bloque II)</w:t>
            </w:r>
          </w:p>
        </w:tc>
        <w:tc>
          <w:tcPr>
            <w:tcW w:type="dxa" w:w="3120"/>
          </w:tcPr>
          <w:p>
            <w:pPr>
              <w:keepLines w:val="1"/>
              <w:keepNext w:val="1"/>
            </w:pPr>
            <w:r>
              <w:t>20%</w:t>
            </w:r>
          </w:p>
        </w:tc>
        <w:tc>
          <w:tcPr>
            <w:tcW w:type="dxa" w:w="3120"/>
          </w:tcPr>
          <w:p>
            <w:pPr>
              <w:keepLines w:val="1"/>
              <w:keepNext w:val="1"/>
            </w:pPr>
            <w:r>
              <w:t>No se puede gestionar lo que no se conoce</w:t>
            </w:r>
          </w:p>
        </w:tc>
      </w:tr>
      <w:tr>
        <w:trPr>
          <w:cantSplit w:val="1"/>
        </w:trPr>
        <w:tc>
          <w:tcPr>
            <w:tcW w:type="dxa" w:w="3120"/>
          </w:tcPr>
          <w:p>
            <w:pPr>
              <w:keepLines w:val="1"/>
              <w:keepNext w:val="1"/>
            </w:pPr>
            <w:r>
              <w:t>Protección y Controles Técnicos (Bloques III, VII, VIII)</w:t>
            </w:r>
          </w:p>
        </w:tc>
        <w:tc>
          <w:tcPr>
            <w:tcW w:type="dxa" w:w="3120"/>
          </w:tcPr>
          <w:p>
            <w:pPr>
              <w:keepLines w:val="1"/>
              <w:keepNext w:val="1"/>
            </w:pPr>
            <w:r>
              <w:t>25%</w:t>
            </w:r>
          </w:p>
        </w:tc>
        <w:tc>
          <w:tcPr>
            <w:tcW w:type="dxa" w:w="3120"/>
          </w:tcPr>
          <w:p>
            <w:pPr>
              <w:keepLines w:val="1"/>
              <w:keepNext w:val="1"/>
            </w:pPr>
            <w:r>
              <w:t>Mayor impacto directo en la reducción de superficie de ataque</w:t>
            </w:r>
          </w:p>
        </w:tc>
      </w:tr>
      <w:tr>
        <w:trPr>
          <w:cantSplit w:val="1"/>
        </w:trPr>
        <w:tc>
          <w:tcPr>
            <w:tcW w:type="dxa" w:w="3120"/>
          </w:tcPr>
          <w:p>
            <w:pPr>
              <w:keepLines w:val="1"/>
              <w:keepNext w:val="1"/>
            </w:pPr>
            <w:r>
              <w:t>Detección y Supervisión (Bloque IV)</w:t>
            </w:r>
          </w:p>
        </w:tc>
        <w:tc>
          <w:tcPr>
            <w:tcW w:type="dxa" w:w="3120"/>
          </w:tcPr>
          <w:p>
            <w:pPr>
              <w:keepLines w:val="1"/>
              <w:keepNext w:val="1"/>
            </w:pPr>
            <w:r>
              <w:t>20%</w:t>
            </w:r>
          </w:p>
        </w:tc>
        <w:tc>
          <w:tcPr>
            <w:tcW w:type="dxa" w:w="3120"/>
          </w:tcPr>
          <w:p>
            <w:pPr>
              <w:keepLines w:val="1"/>
              <w:keepNext w:val="1"/>
            </w:pPr>
            <w:r>
              <w:t>Crítico dado el indicador de 254 días de detección media</w:t>
            </w:r>
          </w:p>
        </w:tc>
      </w:tr>
      <w:tr>
        <w:trPr>
          <w:cantSplit w:val="1"/>
        </w:trPr>
        <w:tc>
          <w:tcPr>
            <w:tcW w:type="dxa" w:w="3120"/>
          </w:tcPr>
          <w:p>
            <w:pPr>
              <w:keepLines w:val="1"/>
            </w:pPr>
            <w:r>
              <w:t>Respuesta, Recuperación y Resiliencia (Bloques V, VI, IX)</w:t>
            </w:r>
          </w:p>
        </w:tc>
        <w:tc>
          <w:tcPr>
            <w:tcW w:type="dxa" w:w="3120"/>
          </w:tcPr>
          <w:p>
            <w:pPr>
              <w:keepLines w:val="1"/>
            </w:pPr>
            <w:r>
              <w:t>15%</w:t>
            </w:r>
          </w:p>
        </w:tc>
        <w:tc>
          <w:tcPr>
            <w:tcW w:type="dxa" w:w="3120"/>
          </w:tcPr>
          <w:p>
            <w:pPr>
              <w:keepLines w:val="1"/>
            </w:pPr>
            <w:r>
              <w:t>Esencial pero dependiente de los dominios anteriores</w:t>
            </w:r>
          </w:p>
        </w:tc>
      </w:tr>
    </w:tbl>
    <w:p/>
    <w:p>
      <w:pPr>
        <w:pStyle w:val="Heading3"/>
        <w:keepNext/>
        <w:keepLines/>
      </w:pPr>
      <w:r>
        <w:t>4.3. Interpretación del IGM</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Rango IGM</w:t>
            </w:r>
          </w:p>
        </w:tc>
        <w:tc>
          <w:tcPr>
            <w:tcW w:type="dxa" w:w="2340"/>
            <w:shd w:fill="0033CC"/>
          </w:tcPr>
          <w:p>
            <w:pPr>
              <w:keepLines w:val="1"/>
              <w:keepNext w:val="1"/>
            </w:pPr>
            <w:r>
              <w:rPr>
                <w:b/>
                <w:color w:val="FFFFFF"/>
              </w:rPr>
              <w:t>Nivel de Madurez</w:t>
            </w:r>
          </w:p>
        </w:tc>
        <w:tc>
          <w:tcPr>
            <w:tcW w:type="dxa" w:w="2340"/>
            <w:shd w:fill="0033CC"/>
          </w:tcPr>
          <w:p>
            <w:pPr>
              <w:keepLines w:val="1"/>
              <w:keepNext w:val="1"/>
            </w:pPr>
            <w:r>
              <w:rPr>
                <w:b/>
                <w:color w:val="FFFFFF"/>
              </w:rPr>
              <w:t>Interpretación</w:t>
            </w:r>
          </w:p>
        </w:tc>
        <w:tc>
          <w:tcPr>
            <w:tcW w:type="dxa" w:w="2340"/>
            <w:shd w:fill="0033CC"/>
          </w:tcPr>
          <w:p>
            <w:pPr>
              <w:keepLines w:val="1"/>
              <w:keepNext w:val="1"/>
            </w:pPr>
            <w:r>
              <w:rPr>
                <w:b/>
                <w:color w:val="FFFFFF"/>
              </w:rPr>
              <w:t>Acción Recomendada</w:t>
            </w:r>
          </w:p>
        </w:tc>
      </w:tr>
      <w:tr>
        <w:trPr>
          <w:cantSplit w:val="1"/>
        </w:trPr>
        <w:tc>
          <w:tcPr>
            <w:tcW w:type="dxa" w:w="2340"/>
          </w:tcPr>
          <w:p>
            <w:pPr>
              <w:keepLines w:val="1"/>
              <w:keepNext w:val="1"/>
            </w:pPr>
            <w:r>
              <w:t>0,0 – 1,0</w:t>
            </w:r>
          </w:p>
        </w:tc>
        <w:tc>
          <w:tcPr>
            <w:tcW w:type="dxa" w:w="2340"/>
          </w:tcPr>
          <w:p>
            <w:pPr>
              <w:keepLines w:val="1"/>
              <w:keepNext w:val="1"/>
            </w:pPr>
            <w:r>
              <w:t>Crítico</w:t>
            </w:r>
          </w:p>
        </w:tc>
        <w:tc>
          <w:tcPr>
            <w:tcW w:type="dxa" w:w="2340"/>
          </w:tcPr>
          <w:p>
            <w:pPr>
              <w:keepLines w:val="1"/>
              <w:keepNext w:val="1"/>
            </w:pPr>
            <w:r>
              <w:t>Programa CSCRM inexistente o puramente nominal</w:t>
            </w:r>
          </w:p>
        </w:tc>
        <w:tc>
          <w:tcPr>
            <w:tcW w:type="dxa" w:w="2340"/>
          </w:tcPr>
          <w:p>
            <w:pPr>
              <w:keepLines w:val="1"/>
              <w:keepNext w:val="1"/>
            </w:pPr>
            <w:r>
              <w:t>Plan de emergencia: gobernanza básica inmediata</w:t>
            </w:r>
          </w:p>
        </w:tc>
      </w:tr>
      <w:tr>
        <w:trPr>
          <w:cantSplit w:val="1"/>
        </w:trPr>
        <w:tc>
          <w:tcPr>
            <w:tcW w:type="dxa" w:w="2340"/>
          </w:tcPr>
          <w:p>
            <w:pPr>
              <w:keepLines w:val="1"/>
              <w:keepNext w:val="1"/>
            </w:pPr>
            <w:r>
              <w:t>1,1 – 2,0</w:t>
            </w:r>
          </w:p>
        </w:tc>
        <w:tc>
          <w:tcPr>
            <w:tcW w:type="dxa" w:w="2340"/>
          </w:tcPr>
          <w:p>
            <w:pPr>
              <w:keepLines w:val="1"/>
              <w:keepNext w:val="1"/>
            </w:pPr>
            <w:r>
              <w:t>Inicial</w:t>
            </w:r>
          </w:p>
        </w:tc>
        <w:tc>
          <w:tcPr>
            <w:tcW w:type="dxa" w:w="2340"/>
          </w:tcPr>
          <w:p>
            <w:pPr>
              <w:keepLines w:val="1"/>
              <w:keepNext w:val="1"/>
            </w:pPr>
            <w:r>
              <w:t>Prácticas aisladas sin coherencia sistémica</w:t>
            </w:r>
          </w:p>
        </w:tc>
        <w:tc>
          <w:tcPr>
            <w:tcW w:type="dxa" w:w="2340"/>
          </w:tcPr>
          <w:p>
            <w:pPr>
              <w:keepLines w:val="1"/>
              <w:keepNext w:val="1"/>
            </w:pPr>
            <w:r>
              <w:t>Establecer inventario, política y responsable en 90 días</w:t>
            </w:r>
          </w:p>
        </w:tc>
      </w:tr>
      <w:tr>
        <w:trPr>
          <w:cantSplit w:val="1"/>
        </w:trPr>
        <w:tc>
          <w:tcPr>
            <w:tcW w:type="dxa" w:w="2340"/>
          </w:tcPr>
          <w:p>
            <w:pPr>
              <w:keepLines w:val="1"/>
              <w:keepNext w:val="1"/>
            </w:pPr>
            <w:r>
              <w:t>2,1 – 3,0</w:t>
            </w:r>
          </w:p>
        </w:tc>
        <w:tc>
          <w:tcPr>
            <w:tcW w:type="dxa" w:w="2340"/>
          </w:tcPr>
          <w:p>
            <w:pPr>
              <w:keepLines w:val="1"/>
              <w:keepNext w:val="1"/>
            </w:pPr>
            <w:r>
              <w:t>En desarrollo</w:t>
            </w:r>
          </w:p>
        </w:tc>
        <w:tc>
          <w:tcPr>
            <w:tcW w:type="dxa" w:w="2340"/>
          </w:tcPr>
          <w:p>
            <w:pPr>
              <w:keepLines w:val="1"/>
              <w:keepNext w:val="1"/>
            </w:pPr>
            <w:r>
              <w:t>Procesos definidos con brechas relevantes</w:t>
            </w:r>
          </w:p>
        </w:tc>
        <w:tc>
          <w:tcPr>
            <w:tcW w:type="dxa" w:w="2340"/>
          </w:tcPr>
          <w:p>
            <w:pPr>
              <w:keepLines w:val="1"/>
              <w:keepNext w:val="1"/>
            </w:pPr>
            <w:r>
              <w:t>Completar contratos, monitorización y respuesta a incidentes</w:t>
            </w:r>
          </w:p>
        </w:tc>
      </w:tr>
      <w:tr>
        <w:trPr>
          <w:cantSplit w:val="1"/>
        </w:trPr>
        <w:tc>
          <w:tcPr>
            <w:tcW w:type="dxa" w:w="2340"/>
          </w:tcPr>
          <w:p>
            <w:pPr>
              <w:keepLines w:val="1"/>
              <w:keepNext w:val="1"/>
            </w:pPr>
            <w:r>
              <w:t>3,1 – 4,0</w:t>
            </w:r>
          </w:p>
        </w:tc>
        <w:tc>
          <w:tcPr>
            <w:tcW w:type="dxa" w:w="2340"/>
          </w:tcPr>
          <w:p>
            <w:pPr>
              <w:keepLines w:val="1"/>
              <w:keepNext w:val="1"/>
            </w:pPr>
            <w:r>
              <w:t>Avanzado</w:t>
            </w:r>
          </w:p>
        </w:tc>
        <w:tc>
          <w:tcPr>
            <w:tcW w:type="dxa" w:w="2340"/>
          </w:tcPr>
          <w:p>
            <w:pPr>
              <w:keepLines w:val="1"/>
              <w:keepNext w:val="1"/>
            </w:pPr>
            <w:r>
              <w:t>Programa estructurado con métricas</w:t>
            </w:r>
          </w:p>
        </w:tc>
        <w:tc>
          <w:tcPr>
            <w:tcW w:type="dxa" w:w="2340"/>
          </w:tcPr>
          <w:p>
            <w:pPr>
              <w:keepLines w:val="1"/>
              <w:keepNext w:val="1"/>
            </w:pPr>
            <w:r>
              <w:t>Integrar SBOM, PQC, Zero Trust y evaluaciones n-tier</w:t>
            </w:r>
          </w:p>
        </w:tc>
      </w:tr>
      <w:tr>
        <w:trPr>
          <w:cantSplit w:val="1"/>
        </w:trPr>
        <w:tc>
          <w:tcPr>
            <w:tcW w:type="dxa" w:w="2340"/>
          </w:tcPr>
          <w:p>
            <w:pPr>
              <w:keepLines w:val="1"/>
            </w:pPr>
            <w:r>
              <w:t>4,1 – 5,0</w:t>
            </w:r>
          </w:p>
        </w:tc>
        <w:tc>
          <w:tcPr>
            <w:tcW w:type="dxa" w:w="2340"/>
          </w:tcPr>
          <w:p>
            <w:pPr>
              <w:keepLines w:val="1"/>
            </w:pPr>
            <w:r>
              <w:t>Optimizando</w:t>
            </w:r>
          </w:p>
        </w:tc>
        <w:tc>
          <w:tcPr>
            <w:tcW w:type="dxa" w:w="2340"/>
          </w:tcPr>
          <w:p>
            <w:pPr>
              <w:keepLines w:val="1"/>
            </w:pPr>
            <w:r>
              <w:t>Mejora continua sistematizada</w:t>
            </w:r>
          </w:p>
        </w:tc>
        <w:tc>
          <w:tcPr>
            <w:tcW w:type="dxa" w:w="2340"/>
          </w:tcPr>
          <w:p>
            <w:pPr>
              <w:keepLines w:val="1"/>
            </w:pPr>
            <w:r>
              <w:t>Liderar iniciativas sectoriales; contribuir a ISACs; preparar PQC</w:t>
            </w:r>
          </w:p>
        </w:tc>
      </w:tr>
    </w:tbl>
    <w:p/>
    <w:p>
      <w:pPr>
        <w:pStyle w:val="Heading3"/>
        <w:keepNext/>
        <w:keepLines/>
      </w:pPr>
      <w:r>
        <w:t>4.4. Subíndices por Dominio</w:t>
      </w:r>
    </w:p>
    <w:p>
      <w:r>
        <w:t xml:space="preserve">Además del IGM agregado, se calculan cinco </w:t>
      </w:r>
      <w:r>
        <w:rPr>
          <w:b/>
        </w:rPr>
        <w:t>subíndices de dominio</w:t>
      </w:r>
      <w:r>
        <w:t xml:space="preserve"> (IGM-G, IGM-I, IGM-P, IGM-D, IGM-R) y tres </w:t>
      </w:r>
      <w:r>
        <w:rPr>
          <w:b/>
        </w:rPr>
        <w:t>subíndices de tendencias emergentes</w:t>
      </w:r>
      <w:r>
        <w:t xml:space="preserve"> (IGM-SBOM, IGM-PQC, IGM-IA), que permiten identificar fortalezas y brechas específicas.</w:t>
      </w:r>
    </w:p>
    <w:p>
      <w:pPr>
        <w:pStyle w:val="Heading2"/>
        <w:keepNext/>
        <w:keepLines/>
      </w:pPr>
      <w:r>
        <w:rPr>
          <w:color w:val="0066CC"/>
        </w:rPr>
        <w:t>5. Validez, Fiabilidad y Consideraciones Éticas</w:t>
      </w:r>
    </w:p>
    <w:p>
      <w:pPr>
        <w:pStyle w:val="Heading3"/>
        <w:keepNext/>
        <w:keepLines/>
      </w:pPr>
      <w:r>
        <w:t>5.1. Validez de Contenido</w:t>
      </w:r>
    </w:p>
    <w:p>
      <w:r>
        <w:t>La validez de contenido se garantiza mediante:</w:t>
      </w:r>
      <w:r/>
      <w:r>
        <w:br/>
        <w:t>- Correspondencia explícita de cada pregunta con al menos un indicador del marco IMC de INCIBE-CERT, una subcategoría del NIST CSF 2.0 (GV.SC) o un control del ENS RD 311/2022 (véase Documento d — Mapeo Normativo).</w:t>
      </w:r>
      <w:r/>
      <w:r>
        <w:br/>
        <w:t>- Revisión por un panel de expertos (CISO de al menos tres sectores distintos, un académico en ciberseguridad y un representante del CCN-CERT o INCIBE) antes de la distribución definitiva.</w:t>
      </w:r>
    </w:p>
    <w:p>
      <w:pPr>
        <w:pStyle w:val="Heading3"/>
        <w:keepNext/>
        <w:keepLines/>
      </w:pPr>
      <w:r>
        <w:t>5.2. Fiabilidad</w:t>
      </w:r>
    </w:p>
    <w:p>
      <w:pPr>
        <w:pStyle w:val="ListBullet"/>
        <w:keepLines w:val="1"/>
        <w:keepNext w:val="1"/>
        <w:widowControl w:val="1"/>
      </w:pPr>
      <w:r>
        <w:t>Consistencia interna: coeficiente Alpha de Cronbach esperado &gt; 0,80 para la escala global.</w:t>
      </w:r>
    </w:p>
    <w:p>
      <w:pPr>
        <w:pStyle w:val="ListBullet"/>
        <w:keepLines w:val="1"/>
        <w:keepNext w:val="1"/>
        <w:widowControl w:val="1"/>
      </w:pPr>
      <w:r>
        <w:t>Test-retest: se recomienda repetir la encuesta con una submuestra de n = 20 organizaciones con un intervalo de 30 días para verificar la estabilidad temporal.</w:t>
      </w:r>
    </w:p>
    <w:p>
      <w:pPr>
        <w:pStyle w:val="ListBullet"/>
        <w:keepLines w:val="1"/>
        <w:widowControl w:val="1"/>
      </w:pPr>
      <w:r>
        <w:t>Triangulación: contraste de los resultados cuantitativos con las entrevistas semiestructuradas de la submuestra cualitativa.</w:t>
      </w:r>
    </w:p>
    <w:p>
      <w:pPr>
        <w:pStyle w:val="Heading3"/>
        <w:keepNext/>
        <w:keepLines/>
      </w:pPr>
      <w:r>
        <w:t>5.3. Consideraciones Éticas</w:t>
      </w:r>
    </w:p>
    <w:p>
      <w:pPr>
        <w:pStyle w:val="ListBullet"/>
        <w:keepLines w:val="1"/>
        <w:keepNext w:val="1"/>
        <w:widowControl w:val="1"/>
      </w:pPr>
      <w:r>
        <w:t>Anonimización: las respuestas serán tratadas de forma agregada; ningún informe publicado identificará organizaciones individuales sin consentimiento expreso.</w:t>
      </w:r>
    </w:p>
    <w:p>
      <w:pPr>
        <w:pStyle w:val="ListBullet"/>
        <w:keepLines w:val="1"/>
        <w:keepNext w:val="1"/>
        <w:widowControl w:val="1"/>
      </w:pPr>
      <w:r>
        <w:t>Consentimiento informado: el formulario incluirá una cláusula de consentimiento informado alineada con el RGPD (Reglamento UE 2016/679) antes del inicio de la encuesta.</w:t>
      </w:r>
    </w:p>
    <w:p>
      <w:pPr>
        <w:pStyle w:val="ListBullet"/>
        <w:keepLines w:val="1"/>
        <w:keepNext w:val="1"/>
        <w:widowControl w:val="1"/>
      </w:pPr>
      <w:r>
        <w:t>Minimización de datos: solo se recabarán los datos estrictamente necesarios para los objetivos de investigación.</w:t>
      </w:r>
    </w:p>
    <w:p>
      <w:pPr>
        <w:pStyle w:val="ListBullet"/>
        <w:keepLines w:val="1"/>
        <w:widowControl w:val="1"/>
      </w:pPr>
      <w:r>
        <w:t>Acceso a resultados: todas las organizaciones participantes recibirán su informe individual de posicionamiento relativo al benchmark sectorial.</w:t>
      </w:r>
    </w:p>
    <w:p>
      <w:pPr>
        <w:pStyle w:val="Heading2"/>
        <w:keepNext/>
        <w:keepLines/>
      </w:pPr>
      <w:r>
        <w:rPr>
          <w:color w:val="0066CC"/>
        </w:rPr>
        <w:t>6. Análisis de Datos</w:t>
      </w:r>
    </w:p>
    <w:p>
      <w:pPr>
        <w:pStyle w:val="Heading3"/>
        <w:keepNext/>
        <w:keepLines/>
      </w:pPr>
      <w:r>
        <w:t>6.1. Análisis Cuantitativo</w:t>
      </w:r>
    </w:p>
    <w:p>
      <w:pPr>
        <w:pStyle w:val="ListBullet"/>
        <w:keepLines w:val="1"/>
        <w:keepNext w:val="1"/>
        <w:widowControl w:val="1"/>
      </w:pPr>
      <w:r>
        <w:t>Estadística descriptiva: media, mediana, moda, desviación típica y percentiles (P25, P50, P75) para cada indicador y para el IGM global.</w:t>
      </w:r>
    </w:p>
    <w:p>
      <w:pPr>
        <w:pStyle w:val="ListBullet"/>
        <w:keepLines w:val="1"/>
        <w:keepNext w:val="1"/>
        <w:widowControl w:val="1"/>
      </w:pPr>
      <w:r>
        <w:t>Análisis de componentes principales (ACP): para identificar los factores latentes subyacentes a la madurez CSCRM.</w:t>
      </w:r>
    </w:p>
    <w:p>
      <w:pPr>
        <w:pStyle w:val="ListBullet"/>
        <w:keepLines w:val="1"/>
        <w:keepNext w:val="1"/>
        <w:widowControl w:val="1"/>
      </w:pPr>
      <w:r>
        <w:t>Análisis de conglomerados (cluster analysis): para identificar perfiles tipológicos de organizaciones según su postura CSCRM.</w:t>
      </w:r>
    </w:p>
    <w:p>
      <w:pPr>
        <w:pStyle w:val="ListBullet"/>
        <w:keepLines w:val="1"/>
        <w:keepNext w:val="1"/>
        <w:widowControl w:val="1"/>
      </w:pPr>
      <w:r>
        <w:t>Correlaciones de Spearman: para variables ordinales (escala L0-L5) y análisis de la relación entre madurez CSCRM y variables organizativas (tamaño, sector, presupuesto).</w:t>
      </w:r>
    </w:p>
    <w:p>
      <w:pPr>
        <w:pStyle w:val="ListBullet"/>
        <w:keepLines w:val="1"/>
        <w:widowControl w:val="1"/>
      </w:pPr>
      <w:r>
        <w:t>Tests de Mann-Whitney / Kruskal-Wallis: para comparaciones entre grupos (sectores, tamaños) cuando no se cumplen los supuestos de normalidad.</w:t>
      </w:r>
    </w:p>
    <w:p>
      <w:pPr>
        <w:pStyle w:val="Heading3"/>
        <w:keepNext/>
        <w:keepLines/>
      </w:pPr>
      <w:r>
        <w:t>6.2. Análisis Cualitativo</w:t>
      </w:r>
    </w:p>
    <w:p>
      <w:pPr>
        <w:pStyle w:val="ListBullet"/>
        <w:keepLines w:val="1"/>
        <w:keepNext w:val="1"/>
        <w:widowControl w:val="1"/>
      </w:pPr>
      <w:r>
        <w:t>Análisis de contenido temático: de las respuestas al campo abierto P11.6, utilizando codificación inductiva con apoyo de herramientas de análisis de texto.</w:t>
      </w:r>
    </w:p>
    <w:p>
      <w:pPr>
        <w:pStyle w:val="ListBullet"/>
        <w:keepLines w:val="1"/>
        <w:widowControl w:val="1"/>
      </w:pPr>
      <w:r>
        <w:t>Análisis de frecuencias textuales: identificación de términos y conceptos recurrentes en las respuestas abiertas.</w:t>
      </w:r>
    </w:p>
    <w:p>
      <w:pPr>
        <w:pStyle w:val="Heading3"/>
        <w:keepNext/>
        <w:keepLines/>
      </w:pPr>
      <w:r>
        <w:t>6.3. Herramientas de Análisis</w:t>
      </w:r>
    </w:p>
    <w:p>
      <w:pPr>
        <w:pStyle w:val="ListBullet"/>
        <w:keepLines w:val="1"/>
        <w:keepNext w:val="1"/>
        <w:widowControl w:val="1"/>
      </w:pPr>
      <w:r>
        <w:t>Análisis cuantitativo: Microsoft Excel (Plantilla IGM — Documento e) + R o SPSS para análisis avanzado.</w:t>
      </w:r>
    </w:p>
    <w:p>
      <w:pPr>
        <w:pStyle w:val="ListBullet"/>
        <w:keepLines w:val="1"/>
        <w:keepNext w:val="1"/>
        <w:widowControl w:val="1"/>
      </w:pPr>
      <w:r>
        <w:t>Visualización: Power BI o Tableau para dashboards ejecutivos.</w:t>
      </w:r>
    </w:p>
    <w:p>
      <w:pPr>
        <w:pStyle w:val="ListBullet"/>
        <w:keepLines w:val="1"/>
        <w:widowControl w:val="1"/>
      </w:pPr>
      <w:r>
        <w:t>Análisis cualitativo: ATLAS.ti o NVivo para análisis de texto.</w:t>
      </w:r>
    </w:p>
    <w:p>
      <w:pPr>
        <w:pStyle w:val="Heading2"/>
        <w:keepNext/>
        <w:keepLines/>
      </w:pPr>
      <w:r>
        <w:rPr>
          <w:color w:val="0066CC"/>
        </w:rPr>
        <w:t>7. Calendario de Ejecución Propuesto</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Fase</w:t>
            </w:r>
          </w:p>
        </w:tc>
        <w:tc>
          <w:tcPr>
            <w:tcW w:type="dxa" w:w="3120"/>
            <w:shd w:fill="0033CC"/>
          </w:tcPr>
          <w:p>
            <w:pPr>
              <w:keepLines w:val="1"/>
              <w:keepNext w:val="1"/>
            </w:pPr>
            <w:r>
              <w:rPr>
                <w:b/>
                <w:color w:val="FFFFFF"/>
              </w:rPr>
              <w:t>Actividad</w:t>
            </w:r>
          </w:p>
        </w:tc>
        <w:tc>
          <w:tcPr>
            <w:tcW w:type="dxa" w:w="3120"/>
            <w:shd w:fill="0033CC"/>
          </w:tcPr>
          <w:p>
            <w:pPr>
              <w:keepLines w:val="1"/>
              <w:keepNext w:val="1"/>
            </w:pPr>
            <w:r>
              <w:rPr>
                <w:b/>
                <w:color w:val="FFFFFF"/>
              </w:rPr>
              <w:t>Duración estimada</w:t>
            </w:r>
          </w:p>
        </w:tc>
      </w:tr>
      <w:tr>
        <w:trPr>
          <w:cantSplit w:val="1"/>
        </w:trPr>
        <w:tc>
          <w:tcPr>
            <w:tcW w:type="dxa" w:w="3120"/>
          </w:tcPr>
          <w:p>
            <w:pPr>
              <w:keepLines w:val="1"/>
              <w:keepNext w:val="1"/>
            </w:pPr>
            <w:r>
              <w:t>1</w:t>
            </w:r>
          </w:p>
        </w:tc>
        <w:tc>
          <w:tcPr>
            <w:tcW w:type="dxa" w:w="3120"/>
          </w:tcPr>
          <w:p>
            <w:pPr>
              <w:keepLines w:val="1"/>
              <w:keepNext w:val="1"/>
            </w:pPr>
            <w:r>
              <w:t>Revisión por panel de expertos y piloto (n=10)</w:t>
            </w:r>
          </w:p>
        </w:tc>
        <w:tc>
          <w:tcPr>
            <w:tcW w:type="dxa" w:w="3120"/>
          </w:tcPr>
          <w:p>
            <w:pPr>
              <w:keepLines w:val="1"/>
              <w:keepNext w:val="1"/>
            </w:pPr>
            <w:r>
              <w:t>3 semanas</w:t>
            </w:r>
          </w:p>
        </w:tc>
      </w:tr>
      <w:tr>
        <w:trPr>
          <w:cantSplit w:val="1"/>
        </w:trPr>
        <w:tc>
          <w:tcPr>
            <w:tcW w:type="dxa" w:w="3120"/>
          </w:tcPr>
          <w:p>
            <w:pPr>
              <w:keepLines w:val="1"/>
              <w:keepNext w:val="1"/>
            </w:pPr>
            <w:r>
              <w:t>2</w:t>
            </w:r>
          </w:p>
        </w:tc>
        <w:tc>
          <w:tcPr>
            <w:tcW w:type="dxa" w:w="3120"/>
          </w:tcPr>
          <w:p>
            <w:pPr>
              <w:keepLines w:val="1"/>
              <w:keepNext w:val="1"/>
            </w:pPr>
            <w:r>
              <w:t>Distribución y recogida de respuestas</w:t>
            </w:r>
          </w:p>
        </w:tc>
        <w:tc>
          <w:tcPr>
            <w:tcW w:type="dxa" w:w="3120"/>
          </w:tcPr>
          <w:p>
            <w:pPr>
              <w:keepLines w:val="1"/>
              <w:keepNext w:val="1"/>
            </w:pPr>
            <w:r>
              <w:t>6–8 semanas</w:t>
            </w:r>
          </w:p>
        </w:tc>
      </w:tr>
      <w:tr>
        <w:trPr>
          <w:cantSplit w:val="1"/>
        </w:trPr>
        <w:tc>
          <w:tcPr>
            <w:tcW w:type="dxa" w:w="3120"/>
          </w:tcPr>
          <w:p>
            <w:pPr>
              <w:keepLines w:val="1"/>
              <w:keepNext w:val="1"/>
            </w:pPr>
            <w:r>
              <w:t>3</w:t>
            </w:r>
          </w:p>
        </w:tc>
        <w:tc>
          <w:tcPr>
            <w:tcW w:type="dxa" w:w="3120"/>
          </w:tcPr>
          <w:p>
            <w:pPr>
              <w:keepLines w:val="1"/>
              <w:keepNext w:val="1"/>
            </w:pPr>
            <w:r>
              <w:t>Depuración y validación de datos</w:t>
            </w:r>
          </w:p>
        </w:tc>
        <w:tc>
          <w:tcPr>
            <w:tcW w:type="dxa" w:w="3120"/>
          </w:tcPr>
          <w:p>
            <w:pPr>
              <w:keepLines w:val="1"/>
              <w:keepNext w:val="1"/>
            </w:pPr>
            <w:r>
              <w:t>1 semana</w:t>
            </w:r>
          </w:p>
        </w:tc>
      </w:tr>
      <w:tr>
        <w:trPr>
          <w:cantSplit w:val="1"/>
        </w:trPr>
        <w:tc>
          <w:tcPr>
            <w:tcW w:type="dxa" w:w="3120"/>
          </w:tcPr>
          <w:p>
            <w:pPr>
              <w:keepLines w:val="1"/>
              <w:keepNext w:val="1"/>
            </w:pPr>
            <w:r>
              <w:t>4</w:t>
            </w:r>
          </w:p>
        </w:tc>
        <w:tc>
          <w:tcPr>
            <w:tcW w:type="dxa" w:w="3120"/>
          </w:tcPr>
          <w:p>
            <w:pPr>
              <w:keepLines w:val="1"/>
              <w:keepNext w:val="1"/>
            </w:pPr>
            <w:r>
              <w:t>Análisis cuantitativo y cualitativo</w:t>
            </w:r>
          </w:p>
        </w:tc>
        <w:tc>
          <w:tcPr>
            <w:tcW w:type="dxa" w:w="3120"/>
          </w:tcPr>
          <w:p>
            <w:pPr>
              <w:keepLines w:val="1"/>
              <w:keepNext w:val="1"/>
            </w:pPr>
            <w:r>
              <w:t>3 semanas</w:t>
            </w:r>
          </w:p>
        </w:tc>
      </w:tr>
      <w:tr>
        <w:trPr>
          <w:cantSplit w:val="1"/>
        </w:trPr>
        <w:tc>
          <w:tcPr>
            <w:tcW w:type="dxa" w:w="3120"/>
          </w:tcPr>
          <w:p>
            <w:pPr>
              <w:keepLines w:val="1"/>
              <w:keepNext w:val="1"/>
            </w:pPr>
            <w:r>
              <w:t>5</w:t>
            </w:r>
          </w:p>
        </w:tc>
        <w:tc>
          <w:tcPr>
            <w:tcW w:type="dxa" w:w="3120"/>
          </w:tcPr>
          <w:p>
            <w:pPr>
              <w:keepLines w:val="1"/>
              <w:keepNext w:val="1"/>
            </w:pPr>
            <w:r>
              <w:t>Elaboración de informes (sectorial + individual)</w:t>
            </w:r>
          </w:p>
        </w:tc>
        <w:tc>
          <w:tcPr>
            <w:tcW w:type="dxa" w:w="3120"/>
          </w:tcPr>
          <w:p>
            <w:pPr>
              <w:keepLines w:val="1"/>
              <w:keepNext w:val="1"/>
            </w:pPr>
            <w:r>
              <w:t>2 semanas</w:t>
            </w:r>
          </w:p>
        </w:tc>
      </w:tr>
      <w:tr>
        <w:trPr>
          <w:cantSplit w:val="1"/>
        </w:trPr>
        <w:tc>
          <w:tcPr>
            <w:tcW w:type="dxa" w:w="3120"/>
          </w:tcPr>
          <w:p>
            <w:pPr>
              <w:keepLines w:val="1"/>
              <w:keepNext w:val="1"/>
            </w:pPr>
            <w:r>
              <w:t>6</w:t>
            </w:r>
          </w:p>
        </w:tc>
        <w:tc>
          <w:tcPr>
            <w:tcW w:type="dxa" w:w="3120"/>
          </w:tcPr>
          <w:p>
            <w:pPr>
              <w:keepLines w:val="1"/>
              <w:keepNext w:val="1"/>
            </w:pPr>
            <w:r>
              <w:t>Difusión de resultados (informe público agregado)</w:t>
            </w:r>
          </w:p>
        </w:tc>
        <w:tc>
          <w:tcPr>
            <w:tcW w:type="dxa" w:w="3120"/>
          </w:tcPr>
          <w:p>
            <w:pPr>
              <w:keepLines w:val="1"/>
              <w:keepNext w:val="1"/>
            </w:pPr>
            <w:r>
              <w:t>1 semana</w:t>
            </w:r>
          </w:p>
        </w:tc>
      </w:tr>
      <w:tr>
        <w:trPr>
          <w:cantSplit w:val="1"/>
        </w:trPr>
        <w:tc>
          <w:tcPr>
            <w:tcW w:type="dxa" w:w="3120"/>
          </w:tcPr>
          <w:p>
            <w:pPr>
              <w:keepLines w:val="1"/>
            </w:pPr>
            <w:r>
              <w:t>Total</w:t>
            </w:r>
          </w:p>
        </w:tc>
        <w:tc>
          <w:tcPr>
            <w:tcW w:type="dxa" w:w="3120"/>
          </w:tcPr>
          <w:p>
            <w:pPr>
              <w:keepLines w:val="1"/>
            </w:pPr>
            <w:r/>
          </w:p>
        </w:tc>
        <w:tc>
          <w:tcPr>
            <w:tcW w:type="dxa" w:w="3120"/>
          </w:tcPr>
          <w:p>
            <w:pPr>
              <w:keepLines w:val="1"/>
            </w:pPr>
            <w:r>
              <w:t>~4 meses</w:t>
            </w:r>
          </w:p>
        </w:tc>
      </w:tr>
    </w:tbl>
    <w:p/>
    <w:p>
      <w:pPr>
        <w:pStyle w:val="Heading2"/>
        <w:keepNext/>
        <w:keepLines/>
      </w:pPr>
      <w:r>
        <w:rPr>
          <w:color w:val="0066CC"/>
        </w:rPr>
        <w:t>8. Limitaciones Conocidas del Estudio</w:t>
      </w:r>
    </w:p>
    <w:p>
      <w:pPr>
        <w:pStyle w:val="ListBullet"/>
        <w:keepLines w:val="1"/>
        <w:keepNext w:val="1"/>
        <w:widowControl w:val="1"/>
      </w:pPr>
      <w:r>
        <w:t>Sesgo de deseabilidad social: los encuestados pueden tender a sobrestimar su nivel de madurez. Se mitiga mediante preguntas de contraste (p. ej., P4.7 sobre tiempo real de detección) y la triangulación cualitativa.</w:t>
      </w:r>
    </w:p>
    <w:p>
      <w:pPr>
        <w:pStyle w:val="ListBullet"/>
        <w:keepLines w:val="1"/>
        <w:keepNext w:val="1"/>
        <w:widowControl w:val="1"/>
      </w:pPr>
      <w:r>
        <w:t>Sesgo de selección: las organizaciones con mayor madurez CSCRM pueden estar sobrerrepresentadas, al ser más propensas a participar en estudios de este tipo.</w:t>
      </w:r>
    </w:p>
    <w:p>
      <w:pPr>
        <w:pStyle w:val="ListBullet"/>
        <w:keepLines w:val="1"/>
        <w:keepNext w:val="1"/>
        <w:widowControl w:val="1"/>
      </w:pPr>
      <w:r>
        <w:t>Temporalidad: el panorama normativo español está en transición activa (NIS2 en transposición); los resultados deben interpretarse en el contexto regulatorio de abril de 2026.</w:t>
      </w:r>
    </w:p>
    <w:p>
      <w:pPr>
        <w:pStyle w:val="ListBullet"/>
        <w:keepLines w:val="1"/>
        <w:widowControl w:val="1"/>
      </w:pPr>
      <w:r>
        <w:t>Autoevaluación: la encuesta se basa en la percepción del encuestado, no en evidencia auditada. Los resultados son indicativos, no certificatorios.</w:t>
      </w:r>
    </w:p>
    <w:p>
      <w:r>
        <w:rPr>
          <w:i/>
        </w:rPr>
        <w:t>© 2026 · Guía Metodológica CSCRM España · Documento (b) del Kit de Encuesta</w:t>
      </w:r>
      <w:r/>
      <w:r>
        <w:br/>
      </w:r>
      <w:r>
        <w:rPr>
          <w:i/>
        </w:rPr>
        <w:t>Referencia: INCIBE-CERT IMC v2.8 · NIST SP 800-161r1 · ENS RD 311/2022 · ENISA NIS360 2025</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