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IGM y ROI — Cálculo del Índice de Gestión de Madurez CSCRM</w:t>
      </w:r>
    </w:p>
    <w:p>
      <w:pPr>
        <w:pStyle w:val="Heading3"/>
        <w:keepNext/>
        <w:keepLines/>
      </w:pPr>
      <w:r>
        <w:t>Descripción funcional para implementación en Microsoft Excel / Google Sheets</w:t>
      </w:r>
    </w:p>
    <w:p>
      <w:r>
        <w:rPr>
          <w:b/>
        </w:rPr>
        <w:t>Versión 1.0 · Documento (e) del Kit de Encuesta CSCRM</w:t>
      </w:r>
    </w:p>
    <w:p>
      <w:r>
        <w:rPr>
          <w:i/>
        </w:rPr>
        <w:t>"Lo que no se mide no se gestiona. Y lo que no se gestiona en ciberseguridad de la cadena de suministro, eventualmente manda una factura de 4,33 millones de euros."</w:t>
      </w:r>
    </w:p>
    <w:p>
      <w:pPr>
        <w:pStyle w:val="Heading2"/>
        <w:keepNext/>
        <w:keepLines/>
      </w:pPr>
      <w:r>
        <w:rPr>
          <w:color w:val="0066CC"/>
        </w:rPr>
        <w:t>1. Estructura General del Libro Excel</w:t>
      </w:r>
    </w:p>
    <w:p>
      <w:r>
        <w:t xml:space="preserve">El archivo </w:t>
      </w:r>
      <w:r>
        <w:rPr>
          <w:rFonts w:ascii="Courier New" w:hAnsi="Courier New"/>
          <w:sz w:val="18"/>
        </w:rPr>
        <w:t>CSCRM_IGM_ROI_v1.xlsx</w:t>
      </w:r>
      <w:r>
        <w:t xml:space="preserve"> se organiza en </w:t>
      </w:r>
      <w:r>
        <w:rPr>
          <w:b/>
        </w:rPr>
        <w:t>8 hojas de cálculo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N.º Hoja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PORTADA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Identificación, instrucciones, versión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DATOS_ENCUESTA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Entrada de respuestas por pregunta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PUNTUACION_DOMINIO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Cálculo automático de subíndices por dominio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IGM_GLOBAL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Cálculo del IGM ponderado y semáforo de madurez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BENCHMARK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Comparativa con valores de referencia europeos (ENISA 2025)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ROI_CSCRM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Estimación del retorno de la inversión en CSCRM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HOJA_RUTA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Generación automática de plan de acción priorizado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DASHBOARD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Panel ejecutivo con gráficos de radar, semáforos y KPIs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2. Hoja 1 — PORTADA</w:t>
      </w:r>
    </w:p>
    <w:p>
      <w:r>
        <w:rPr>
          <w:b/>
        </w:rPr>
        <w:t>Campos de identificación: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[A1] ENCUESTA CSCRM ESPAÑA 2026 — CALCULADORA IGM / ROI</w:t>
        <w:br/>
        <w:t>[A3] Organización: [campo editable]</w:t>
        <w:br/>
        <w:t>[A4] Sector: [desplegable: lista sectores NIS2]</w:t>
        <w:br/>
        <w:t>[A5] Tamaño: [desplegable: micro/pequeña/mediana/grande/corporación]</w:t>
        <w:br/>
        <w:t>[A6] Fecha de cumplimentación: [campo fecha]</w:t>
        <w:br/>
        <w:t>[A7] Responsable: [campo editable]</w:t>
        <w:br/>
        <w:t>[A8] Versión del cuestionario: 1.0</w:t>
        <w:br/>
        <w:t>[A10] INSTRUCCIONES:</w:t>
        <w:br/>
        <w:t>[A11] 1. Cumplimente la hoja DATOS_ENCUESTA con las respuestas de su organización.</w:t>
        <w:br/>
        <w:t>[A12] 2. El IGM se calculará automáticamente en la hoja IGM_GLOBAL.</w:t>
        <w:br/>
        <w:t>[A13] 3. La hoja BENCHMARK muestra su posición relativa frente al sector.</w:t>
        <w:br/>
        <w:t>[A14] 4. La hoja ROI_CSCRM estima el impacto económico de mejorar su madurez.</w:t>
        <w:br/>
        <w:t>[A15] 5. La hoja HOJA_RUTA genera un plan de acción priorizado basado en sus brechas.</w:t>
        <w:br/>
      </w:r>
    </w:p>
    <w:p>
      <w:pPr>
        <w:pStyle w:val="Heading2"/>
        <w:keepNext/>
        <w:keepLines/>
      </w:pPr>
      <w:r>
        <w:rPr>
          <w:color w:val="0066CC"/>
        </w:rPr>
        <w:t>3. Hoja 2 — DATOS_ENCUESTA</w:t>
      </w:r>
    </w:p>
    <w:p>
      <w:pPr>
        <w:pStyle w:val="Heading3"/>
        <w:keepNext/>
        <w:keepLines/>
      </w:pPr>
      <w:r>
        <w:t>Estructura de columnas: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Código de pregunta (P0.1, P1.1, etc.)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Texto resumido de la pregunta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Bloque temático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Dominio CSCRM (Gobernanza / Identificación / Protección / Detección / Resiliencia)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Respuesta seleccionada (entrada del usuario — celda editable)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Escala de respuesta (L0-L5 / Sí-No / Escala numérica)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Valor numérico asignado automáticamente a la respuesta (0-5)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Peso relativo de la pregunta dentro del dominio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Puntuación ponderada = G × H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J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Indicador IMC correspondiente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K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Marco normativo primario</w:t>
            </w:r>
          </w:p>
        </w:tc>
      </w:tr>
    </w:tbl>
    <w:p/>
    <w:p>
      <w:pPr>
        <w:pStyle w:val="Heading3"/>
        <w:keepNext/>
        <w:keepLines/>
      </w:pPr>
      <w:r>
        <w:t>Tabla de conversión de respuestas a valores numéricos:</w:t>
      </w:r>
    </w:p>
    <w:p>
      <w:r>
        <w:rPr>
          <w:b/>
        </w:rPr>
        <w:t>Preguntas con escala L0-L5 (directas):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L0 = 0 | L1 = 1 | L2 = 2 | L3 = 3 | L4 = 4 | L5 = 5</w:t>
        <w:br/>
      </w:r>
    </w:p>
    <w:p>
      <w:r>
        <w:rPr>
          <w:b/>
        </w:rPr>
        <w:t>Preguntas de selección única (conversión a escala 0-5):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P1.3 (Formación Alta Dirección)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Regular con simulaciones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Ocasional por incidentes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Solo informes escritos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Solo equipo técnico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No, todavía en Comité de Presupuesto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P1.4 (Comité CSCRM)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Multidisciplinar completo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Solo TI/ciberseguridad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Dentro de comité general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Caso a caso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existe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P1.5 (Presupuesto CSCRM)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&gt; 20%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10-20%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5-10%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&lt; 5%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Sin partida específica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Desconocido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P4.7 (Tiempo detección)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&lt; 24 horas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1-7 días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 semana-1 mes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1-6 meses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&gt; 6 meses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medido / No detectado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P11.1 (Autoevaluación 1-10)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9-10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7-8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5-6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3-4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/>
          </w:p>
        </w:tc>
        <w:tc>
          <w:tcPr>
            <w:tcW w:type="dxa" w:w="3120"/>
          </w:tcPr>
          <w:p>
            <w:pPr>
              <w:keepLines w:val="1"/>
            </w:pPr>
            <w:r>
              <w:t>1-2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0</w:t>
            </w:r>
          </w:p>
        </w:tc>
      </w:tr>
    </w:tbl>
    <w:p/>
    <w:p>
      <w:r>
        <w:rPr>
          <w:b/>
        </w:rPr>
        <w:t>Preguntas de selección múltiple (scoring por número de opciones seleccionadas):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Fórmula: VALOR = MIN(5, CONTAR.SI(rango_respuesta, "SELECCIONADO") × (5 / total_opciones_relevantes))</w:t>
        <w:br/>
      </w:r>
    </w:p>
    <w:p>
      <w:pPr>
        <w:pStyle w:val="Heading2"/>
        <w:keepNext/>
        <w:keepLines/>
      </w:pPr>
      <w:r>
        <w:rPr>
          <w:color w:val="0066CC"/>
        </w:rPr>
        <w:t>4. Hoja 3 — PUNTUACION_DOMINIO</w:t>
      </w:r>
    </w:p>
    <w:p>
      <w:pPr>
        <w:pStyle w:val="Heading3"/>
        <w:keepNext/>
        <w:keepLines/>
      </w:pPr>
      <w:r>
        <w:t>Cálculo de subíndices por dominio: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IGM-G (Gobernanza) = SUMA.PRODUCTO(valores_bloque_I; pesos_bloque_I) / SUMA(pesos_bloque_I)</w:t>
        <w:br/>
        <w:t>Preguntas incluidas: P1.1, P1.2, P1.3, P1.4, P1.5, P1.6, P1.7, P1.8</w:t>
        <w:br/>
        <w:br/>
        <w:t>IGM-I (Identificación y Evaluación) = SUMA.PRODUCTO(valores_bloque_II; pesos_bloque_II) / SUMA(pesos_bloque_II)</w:t>
        <w:br/>
        <w:t>Preguntas incluidas: P2.1, P2.2, P2.3, P2.4, P2.5, P2.6, P2.7, P2.8</w:t>
        <w:br/>
        <w:br/>
        <w:t>IGM-P (Protección y Controles Técnicos) = SUMA.PRODUCTO(valores_bloques_III_VII_VIII; pesos) / SUMA(pesos)</w:t>
        <w:br/>
        <w:t>Preguntas incluidas: P3.1-P3.6, P7.1-P7.8, P8.1-P8.5</w:t>
        <w:br/>
        <w:br/>
        <w:t>IGM-D (Detección y Supervisión) = SUMA.PRODUCTO(valores_bloque_IV; pesos_bloque_IV) / SUMA(pesos_bloque_IV)</w:t>
        <w:br/>
        <w:t>Preguntas incluidas: P4.1, P4.2, P4.3, P4.4, P4.5, P4.6, P4.7</w:t>
        <w:br/>
        <w:br/>
        <w:t>IGM-R (Respuesta, Recuperación y Resiliencia) = SUMA.PRODUCTO(valores_bloques_V_VI_IX; pesos) / SUMA(pesos)</w:t>
        <w:br/>
        <w:t>Preguntas incluidas: P5.1-P5.4, P6.1-P6.3, P9.1-P9.4</w:t>
        <w:br/>
      </w:r>
    </w:p>
    <w:p>
      <w:pPr>
        <w:pStyle w:val="Heading3"/>
        <w:keepNext/>
        <w:keepLines/>
      </w:pPr>
      <w:r>
        <w:t>Subíndices temáticos emergentes: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IGM-SBOM = PROMEDIO(P7.1, P7.2) → escala 0-5</w:t>
        <w:br/>
        <w:t>IGM-PQC  = PROMEDIO(P7.3, P7.4) → escala 0-5</w:t>
        <w:br/>
        <w:t>IGM-IA   = PROMEDIO(P7.5, P7.6, P7.7, P7.8) → escala 0-5</w:t>
        <w:br/>
        <w:t>IGM-ZT   = PROMEDIO(P8.1, P8.2, P8.3, P8.4, P8.5) → escala 0-5</w:t>
        <w:br/>
      </w:r>
    </w:p>
    <w:p>
      <w:r>
        <w:rPr>
          <w:b/>
        </w:rPr>
        <w:t>Visualización recomendada en esta hoja:</w:t>
      </w:r>
      <w:r/>
      <w:r>
        <w:br/>
        <w:t>- Gráfico de barras horizontales mostrando los 5 dominios con código de color (rojo &lt;2; naranja 2-3; amarillo 3-4; verde &gt;4)</w:t>
      </w:r>
      <w:r/>
      <w:r>
        <w:br/>
        <w:t>- Tabla de brechas: columna "Valor actual" | "Umbral objetivo" | "Brecha" | "Prioridad"</w:t>
      </w:r>
    </w:p>
    <w:p>
      <w:pPr>
        <w:pStyle w:val="Heading2"/>
        <w:keepNext/>
        <w:keepLines/>
      </w:pPr>
      <w:r>
        <w:rPr>
          <w:color w:val="0066CC"/>
        </w:rPr>
        <w:t>5. Hoja 4 — IGM_GLOBAL</w:t>
      </w:r>
    </w:p>
    <w:p>
      <w:pPr>
        <w:pStyle w:val="Heading3"/>
        <w:keepNext/>
        <w:keepLines/>
      </w:pPr>
      <w:r>
        <w:t>Fórmula del IGM ponderado: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(IGM-G × 0,20) + (IGM-I × 0,20) + (IGM-P × 0,25) + (IGM-D × 0,20) + (IGM-R × 0,15)</w:t>
        <w:br/>
      </w:r>
    </w:p>
    <w:p>
      <w:pPr>
        <w:pStyle w:val="Heading3"/>
        <w:keepNext/>
        <w:keepLines/>
      </w:pPr>
      <w:r>
        <w:t>Tabla de semáforo de madurez (formato condicional):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Rango IGM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Mensaje automático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0,0 – 1,0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🔴 Rojo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"Acción inmediata requerida. Riesgo sistémico elevado."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1,1 – 2,0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🟠 Naranja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Inicial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"Establecer gobernanza básica en 90 días."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2,1 – 3,0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🟡 Amarillo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 desarrollo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"Completar contratos, monitorización y respuesta."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3,1 – 4,0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🟢 Verde claro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Avanzado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"Integrar SBOM, PQC y evaluaciones n-tier."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4,1 – 5,0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💚 Verde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Optimizando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"Liderar iniciativas sectoriales; preparar PQC."</w:t>
            </w:r>
          </w:p>
        </w:tc>
      </w:tr>
    </w:tbl>
    <w:p/>
    <w:p>
      <w:pPr>
        <w:pStyle w:val="Heading3"/>
        <w:keepNext/>
        <w:keepLines/>
      </w:pPr>
      <w:r>
        <w:t>Gráfico radar (pentágono de dominios):</w:t>
      </w:r>
    </w:p>
    <w:p>
      <w:pPr>
        <w:pStyle w:val="ListBullet"/>
        <w:keepLines w:val="1"/>
        <w:keepNext w:val="1"/>
        <w:widowControl w:val="1"/>
      </w:pPr>
      <w:r>
        <w:t>5 ejes: Gobernanza / Identificación / Protección / Detección / Resiliencia</w:t>
      </w:r>
    </w:p>
    <w:p>
      <w:pPr>
        <w:pStyle w:val="ListBullet"/>
        <w:keepLines w:val="1"/>
        <w:keepNext w:val="1"/>
        <w:widowControl w:val="1"/>
      </w:pPr>
      <w:r>
        <w:t>Serie 1 (azul): Valores actuales de la organización</w:t>
      </w:r>
    </w:p>
    <w:p>
      <w:pPr>
        <w:pStyle w:val="ListBullet"/>
        <w:keepLines w:val="1"/>
        <w:keepNext w:val="1"/>
        <w:widowControl w:val="1"/>
      </w:pPr>
      <w:r>
        <w:t>Serie 2 (gris discontinuo): Benchmark europeo ENISA 2025</w:t>
      </w:r>
    </w:p>
    <w:p>
      <w:pPr>
        <w:pStyle w:val="ListBullet"/>
        <w:keepLines w:val="1"/>
        <w:widowControl w:val="1"/>
      </w:pPr>
      <w:r>
        <w:t>Serie 3 (verde claro): Objetivo L3 mínimo NIS2</w:t>
      </w:r>
    </w:p>
    <w:p>
      <w:pPr>
        <w:pStyle w:val="Heading2"/>
        <w:keepNext/>
        <w:keepLines/>
      </w:pPr>
      <w:r>
        <w:rPr>
          <w:color w:val="0066CC"/>
        </w:rPr>
        <w:t>6. Hoja 5 — BENCHMARK</w:t>
      </w:r>
    </w:p>
    <w:p>
      <w:pPr>
        <w:pStyle w:val="Heading3"/>
        <w:keepNext/>
        <w:keepLines/>
      </w:pPr>
      <w:r>
        <w:t>Valores de referencia (fuentes: ENISA NIS Investments 2025, ENISA Good Practices 2023, Cipher/Prosegur 2026):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España (estimado)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Media UE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Percentil 75 UE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NIS2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% org. con política CSCRM formal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~60%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~72%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~90%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100%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% org. con inventario proveedores TIC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~55%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~68%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~85%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100%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% org. con evaluación pre-contrato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~40%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~47%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~70%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80%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% contratos con cláusulas ciberseguridad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~45%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~61%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~80%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90%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% org. con monitorización continua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~35%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~43%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~65%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70%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% org. con PRI que incluye cadena de suministro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~30%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~38%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~60%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75%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% org. que exige SBOM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~15%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~22%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~40%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50% (CRA)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% org. con evaluación PQC iniciada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~12%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~25%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30% (2026)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Tiempo medio detección incidente CS (días)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~254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~220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~90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&lt;60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% org. con BCP probado (escenarios proveedor)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~25%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~35%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~58%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60%</w:t>
            </w:r>
          </w:p>
        </w:tc>
      </w:tr>
    </w:tbl>
    <w:p/>
    <w:p>
      <w:r>
        <w:rPr>
          <w:b/>
        </w:rPr>
        <w:t>Instrucciones para la hoja:</w:t>
      </w:r>
      <w:r/>
      <w:r>
        <w:br/>
        <w:t>- Columna A: Indicador</w:t>
      </w:r>
      <w:r/>
      <w:r>
        <w:br/>
        <w:t>- Columna B: Valor de la organización (vinculado a PUNTUACION_DOMINIO)</w:t>
      </w:r>
      <w:r/>
      <w:r>
        <w:br/>
        <w:t>- Columna C: Valor benchmark España (hardcoded con actualización anual)</w:t>
      </w:r>
      <w:r/>
      <w:r>
        <w:br/>
        <w:t>- Columna D: Valor benchmark UE medio</w:t>
      </w:r>
      <w:r/>
      <w:r>
        <w:br/>
        <w:t>- Columna E: Percentil 75 UE</w:t>
      </w:r>
      <w:r/>
      <w:r>
        <w:br/>
        <w:t>- Columna F: Objetivo NIS2/ENS</w:t>
      </w:r>
      <w:r/>
      <w:r>
        <w:br/>
        <w:t>- Columna G: Diferencia vs. benchmark España (B-C); formato condicional (verde si ≥0, rojo si &lt;0)</w:t>
      </w:r>
      <w:r/>
      <w:r>
        <w:br/>
        <w:t>- Columna H: Percentil estimado de la organización en la distribución española (calculado mediante interpolación)</w:t>
      </w:r>
    </w:p>
    <w:p>
      <w:pPr>
        <w:pStyle w:val="Heading2"/>
        <w:keepNext/>
        <w:keepLines/>
      </w:pPr>
      <w:r>
        <w:rPr>
          <w:color w:val="0066CC"/>
        </w:rPr>
        <w:t>7. Hoja 6 — ROI_CSCRM</w:t>
      </w:r>
    </w:p>
    <w:p>
      <w:pPr>
        <w:pStyle w:val="Heading3"/>
        <w:keepNext/>
        <w:keepLines/>
      </w:pPr>
      <w:r>
        <w:t>Modelo de estimación de ROI basado en la reducción del riesgo esperado</w:t>
      </w:r>
    </w:p>
    <w:p>
      <w:pPr>
        <w:pStyle w:val="Heading4"/>
        <w:keepNext/>
        <w:keepLines/>
      </w:pPr>
      <w:r>
        <w:t>Paso 1 — Estimación del riesgo anual sin mejora CSCRM (ALE base)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[C5]  Número de proveedores TIC críticos (N_prov):                [entrada usuario]</w:t>
        <w:br/>
        <w:t>[C6]  Probabilidad anual de incidente por proveedor (p_incidente): 0,08 (benchmark: 8% anual)</w:t>
        <w:br/>
        <w:t>[C7]  Coste medio por incidente CS (M€):                          4,33  (Cipher/Prosegur 2026)</w:t>
        <w:br/>
        <w:t>[C8]  Factor de impacto por nivel de madurez IGM actual:</w:t>
        <w:br/>
        <w:t xml:space="preserve">      SI(IGM&lt;2; 1,5; SI(IGM&lt;3; 1,2; SI(IGM&lt;4; 1,0; 0,7)))</w:t>
        <w:br/>
        <w:br/>
        <w:t>[C10] ALE_base = N_prov × p_incidente × Coste_medio × Factor_impacto</w:t>
        <w:br/>
        <w:t xml:space="preserve">      Fórmula: =C5 * C6 * C7 * C8 * 1000000</w:t>
        <w:br/>
      </w:r>
    </w:p>
    <w:p>
      <w:pPr>
        <w:pStyle w:val="Heading4"/>
        <w:keepNext/>
        <w:keepLines/>
      </w:pPr>
      <w:r>
        <w:t>Paso 2 — Estimación del riesgo anual con mejora CSCRM (ALE mejorado)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[C15] Nivel de madurez IGM objetivo (introducido por usuario):     [entrada]</w:t>
        <w:br/>
        <w:t>[C16] Reducción de probabilidad estimada por nivel de madurez:</w:t>
        <w:br/>
        <w:t xml:space="preserve">      BUSCARV(IGM_objetivo; tabla_reduccion; 2; VERDADERO)</w:t>
        <w:br/>
        <w:br/>
        <w:t xml:space="preserve">      Tabla de reducción (basada en FAIR Institute 2025 + ENISA):</w:t>
        <w:br/>
        <w:t xml:space="preserve">      IGM 1→2: reducción 15% | IGM 2→3: 25% | IGM 3→4: 35% | IGM 4→5: 45%</w:t>
        <w:br/>
        <w:br/>
        <w:t>[C18] ALE_mejorado = ALE_base × (1 - Reduccion_acumulada)</w:t>
        <w:br/>
      </w:r>
    </w:p>
    <w:p>
      <w:pPr>
        <w:pStyle w:val="Heading4"/>
        <w:keepNext/>
        <w:keepLines/>
      </w:pPr>
      <w:r>
        <w:t>Paso 3 — Estimación de la inversión requerida (CAPEX + OPEX anual)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[C25] Coste herramientas evaluación/monitorización proveedores:     [entrada]</w:t>
        <w:br/>
        <w:t>[C26] Coste consultoría (gap analysis, cuestionarios, auditorías): [entrada]</w:t>
        <w:br/>
        <w:t>[C27] Coste formación del personal:                                 [entrada]</w:t>
        <w:br/>
        <w:t>[C28] Coste adaptación contractual (horas legales internas):        [entrada]</w:t>
        <w:br/>
        <w:t>[C29] Coste herramientas PAM / Zero Trust para proveedores:         [entrada]</w:t>
        <w:br/>
        <w:t>[C30] TOTAL Inversión CSCRM (año 1):     =SUMA(C25:C29)</w:t>
        <w:br/>
        <w:t>[C31] TOTAL Inversión CSCRM (año 2-3):   =C30 * 0,4  (estimado: 40% del año 1 = mantenimiento)</w:t>
        <w:br/>
      </w:r>
    </w:p>
    <w:p>
      <w:pPr>
        <w:pStyle w:val="Heading4"/>
        <w:keepNext/>
        <w:keepLines/>
      </w:pPr>
      <w:r>
        <w:t>Paso 4 — Cálculo del ROI y período de recuperación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[C38] Reducción ALE = ALE_base - ALE_mejorado</w:t>
        <w:br/>
        <w:t>[C39] ROI año 1 = (Reduccion_ALE - Inversion_año1) / Inversion_año1 × 100</w:t>
        <w:br/>
        <w:t>[C40] ROI año 3 (acumulado) = (Reduccion_ALE × 3 - Inversion_total_3años) / Inversion_total_3años × 100</w:t>
        <w:br/>
        <w:t>[C41] Período de recuperación (meses) = Inversion_año1 / (Reduccion_ALE / 12)</w:t>
        <w:br/>
        <w:t>[C42] VAN a 3 años (tasa descuento 8%) = VNA(8%; Reduccion_ALE; Reduccion_ALE; Reduccion_ALE) - Inversion_año1</w:t>
        <w:br/>
      </w:r>
    </w:p>
    <w:p>
      <w:pPr>
        <w:pStyle w:val="Heading4"/>
        <w:keepNext/>
        <w:keepLines/>
      </w:pPr>
      <w:r>
        <w:t>Tabla resumen ROI (generada automáticamente):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 calculado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ALE actual (riesgo anual sin mejora)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[calculado] M€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ALE mejorado (con programa CSCRM)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[calculado] M€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Reducción anual del riesgo esperado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[calculado] M€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Inversión total año 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[entrada] M€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ROI año 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[calculado] 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ROI acumulado año 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[calculado] 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Período de recuperación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[calculado] meses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VAN a 3 años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[calculado] M€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8. Hoja 7 — HOJA_RUTA</w:t>
      </w:r>
    </w:p>
    <w:p>
      <w:pPr>
        <w:pStyle w:val="Heading3"/>
        <w:keepNext/>
        <w:keepLines/>
      </w:pPr>
      <w:r>
        <w:t>Generación automática del plan de acción CSCRM</w:t>
      </w:r>
    </w:p>
    <w:p>
      <w:r>
        <w:t>Esta hoja genera automáticamente un plan de acción priorizado basado en las brechas identificadas en PUNTUACION_DOMINIO, ordenado por:</w:t>
      </w:r>
      <w:r/>
      <w:r>
        <w:br/>
        <w:t xml:space="preserve">1. </w:t>
      </w:r>
      <w:r>
        <w:rPr>
          <w:b/>
        </w:rPr>
        <w:t>Criticidad normativa</w:t>
      </w:r>
      <w:r>
        <w:t xml:space="preserve"> (controles obligatorios primero: ENS, NIS2, DORA)</w:t>
      </w:r>
      <w:r/>
      <w:r>
        <w:br/>
        <w:t xml:space="preserve">2. </w:t>
      </w:r>
      <w:r>
        <w:rPr>
          <w:b/>
        </w:rPr>
        <w:t>Impacto en IGM</w:t>
      </w:r>
      <w:r>
        <w:t xml:space="preserve"> (acciones que más mejoran el IGM)</w:t>
      </w:r>
      <w:r/>
      <w:r>
        <w:br/>
        <w:t xml:space="preserve">3. </w:t>
      </w:r>
      <w:r>
        <w:rPr>
          <w:b/>
        </w:rPr>
        <w:t>Facilidad de implementación</w:t>
      </w:r>
      <w:r>
        <w:t xml:space="preserve"> (esfuerzo estimado: bajo/medio/alto)</w:t>
      </w:r>
    </w:p>
    <w:p>
      <w:pPr>
        <w:pStyle w:val="Heading4"/>
        <w:keepNext/>
        <w:keepLines/>
      </w:pPr>
      <w:r>
        <w:t>Estructura de la tabla de acciones: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Col.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Código acción (CSCRM-A1... CSCRM-D5)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 origen (Px.x)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Descripción de la acción de mejora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Dominio CSCRM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Valor actual (L0-L5)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Objetivo recomendado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Brecha (F-E)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Impacto en IGM (si se completa esta acción)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Obligatoriedad normativa (✅ Obligatorio / 📋 Recomendado / 🔜 Emergente)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J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Esfuerzo estimado (bajo/medio/alto)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K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Plazo recomendado (inmediato &lt;30d / corto 90d / medio 6m / largo 12m)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Responsable sugerido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Estado (campo editable: Pendiente / En curso / Completado)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N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Fecha objetivo (campo editable)</w:t>
            </w:r>
          </w:p>
        </w:tc>
      </w:tr>
    </w:tbl>
    <w:p/>
    <w:p>
      <w:pPr>
        <w:pStyle w:val="Heading4"/>
        <w:keepNext/>
        <w:keepLines/>
      </w:pPr>
      <w:r>
        <w:t>Lógica de priorización (columna automática "Prioridad"):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Prioridad = (Brecha × 2) + (Impacto_IGM × 3) + (SI(Obligatorio; 5; SI(Recomendado; 2; 0))) - (SI(Esfuerzo="alto"; 2; SI(Esfuerzo="medio"; 1; 0)))</w:t>
        <w:br/>
      </w:r>
    </w:p>
    <w:p>
      <w:pPr>
        <w:pStyle w:val="Heading2"/>
        <w:keepNext/>
        <w:keepLines/>
      </w:pPr>
      <w:r>
        <w:rPr>
          <w:color w:val="0066CC"/>
        </w:rPr>
        <w:t>9. Hoja 8 — DASHBOARD</w:t>
      </w:r>
    </w:p>
    <w:p>
      <w:pPr>
        <w:pStyle w:val="Heading3"/>
        <w:keepNext/>
        <w:keepLines/>
      </w:pPr>
      <w:r>
        <w:t>Panel ejecutivo (una sola página imprimible en A3)</w:t>
      </w:r>
    </w:p>
    <w:p>
      <w:r>
        <w:rPr>
          <w:b/>
        </w:rPr>
        <w:t>Componente 1 — Semáforo IGM global</w:t>
      </w:r>
      <w:r>
        <w:t xml:space="preserve"> (celda grande con formato condicional color)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IGM: [valor] / 5,0 — Nivel: [texto nivel] — [emoji semáforo]</w:t>
        <w:br/>
      </w:r>
    </w:p>
    <w:p>
      <w:r>
        <w:rPr>
          <w:b/>
        </w:rPr>
        <w:t>Componente 2 — Gráfico radar pentagonal</w:t>
      </w:r>
      <w:r>
        <w:t xml:space="preserve"> (5 dominios)</w:t>
      </w:r>
      <w:r/>
      <w:r>
        <w:br/>
        <w:t>- Valores actuales vs. benchmark UE vs. objetivo NIS2</w:t>
      </w:r>
    </w:p>
    <w:p>
      <w:r>
        <w:rPr>
          <w:b/>
        </w:rPr>
        <w:t>Componente 3 — Tabla de subíndices</w:t>
      </w:r>
      <w:r>
        <w:t xml:space="preserve"> (6 filas: 5 dominios + IGM global)</w:t>
      </w:r>
      <w:r/>
      <w:r>
        <w:br/>
        <w:t>| Dominio | Valor | Benchmark UE | Gap | Semáforo |</w:t>
      </w:r>
      <w:r/>
      <w:r>
        <w:br/>
        <w:t>|---------|-------|-------------|-----|----------|</w:t>
      </w:r>
    </w:p>
    <w:p>
      <w:r>
        <w:rPr>
          <w:b/>
        </w:rPr>
        <w:t>Componente 4 — Top 5 acciones prioritarias</w:t>
      </w:r>
      <w:r>
        <w:t xml:space="preserve"> (vinculado a HOJA_RUTA, filtrado por las 5 primeras)</w:t>
      </w:r>
    </w:p>
    <w:p>
      <w:r>
        <w:rPr>
          <w:b/>
        </w:rPr>
        <w:t>Componente 5 — Métricas emergentes</w:t>
      </w:r>
      <w:r/>
      <w:r>
        <w:br/>
        <w:t>| Indicador | Valor | Estado |</w:t>
      </w:r>
      <w:r/>
      <w:r>
        <w:br/>
        <w:t>|-----------|-------|--------|</w:t>
      </w:r>
      <w:r/>
      <w:r>
        <w:br/>
        <w:t>| IGM-SBOM | [val] | [semáforo] |</w:t>
      </w:r>
      <w:r/>
      <w:r>
        <w:br/>
        <w:t>| IGM-PQC | [val] | [semáforo] |</w:t>
      </w:r>
      <w:r/>
      <w:r>
        <w:br/>
        <w:t>| IGM-IA | [val] | [semáforo] |</w:t>
      </w:r>
      <w:r/>
      <w:r>
        <w:br/>
        <w:t>| IGM-ZT | [val] | [semáforo] |</w:t>
      </w:r>
    </w:p>
    <w:p>
      <w:r>
        <w:rPr>
          <w:b/>
        </w:rPr>
        <w:t>Componente 6 — ROI estimado</w:t>
      </w:r>
      <w:r>
        <w:t xml:space="preserve"> (caja resumen)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Reducción riesgo anual estimada: [X] M€</w:t>
        <w:br/>
        <w:t>Inversión requerida año 1: [Y] M€</w:t>
        <w:br/>
        <w:t>ROI año 1: [Z]% | Período recuperación: [N] meses</w:t>
        <w:br/>
      </w:r>
    </w:p>
    <w:p>
      <w:pPr>
        <w:pStyle w:val="Heading2"/>
        <w:keepNext/>
        <w:keepLines/>
      </w:pPr>
      <w:r>
        <w:rPr>
          <w:color w:val="0066CC"/>
        </w:rPr>
        <w:t>10. Notas de Implementación</w:t>
      </w:r>
    </w:p>
    <w:p>
      <w:pPr>
        <w:pStyle w:val="Heading3"/>
        <w:keepNext/>
        <w:keepLines/>
      </w:pPr>
      <w:r>
        <w:t>Configuración de la hoja de cálculo:</w:t>
      </w:r>
    </w:p>
    <w:p>
      <w:pPr>
        <w:pStyle w:val="ListBullet"/>
        <w:keepLines w:val="1"/>
        <w:keepNext w:val="1"/>
        <w:widowControl w:val="1"/>
      </w:pPr>
      <w:r>
        <w:t>Proteger todas las celdas de fórmulas (solo editables las celdas marcadas en amarillo)</w:t>
      </w:r>
    </w:p>
    <w:p>
      <w:pPr>
        <w:pStyle w:val="ListBullet"/>
        <w:keepLines w:val="1"/>
        <w:keepNext w:val="1"/>
        <w:widowControl w:val="1"/>
      </w:pPr>
      <w:r>
        <w:t>Validación de datos en celdas de entrada (listas desplegables para opciones L0-L5 y respuestas categóricas)</w:t>
      </w:r>
    </w:p>
    <w:p>
      <w:pPr>
        <w:pStyle w:val="ListBullet"/>
        <w:keepLines w:val="1"/>
        <w:keepNext w:val="1"/>
        <w:widowControl w:val="1"/>
      </w:pPr>
      <w:r>
        <w:t>Formato condicional aplicado a todas las celdas de puntuación (verde ≥4, amarillo 2-3, rojo ≤1)</w:t>
      </w:r>
    </w:p>
    <w:p>
      <w:pPr>
        <w:pStyle w:val="ListBullet"/>
        <w:keepLines w:val="1"/>
        <w:keepNext w:val="1"/>
        <w:widowControl w:val="1"/>
      </w:pPr>
      <w:r>
        <w:t>Contraseña de protección de hoja: recomendado para versiones institucionales</w:t>
      </w:r>
    </w:p>
    <w:p>
      <w:pPr>
        <w:pStyle w:val="ListBullet"/>
        <w:keepLines w:val="1"/>
        <w:widowControl w:val="1"/>
      </w:pPr>
      <w:r>
        <w:t>Idioma de fórmulas: español (SUMA, PROMEDIO, SI, BUSCARV, SUMA.PRODUCTO, VNA)</w:t>
      </w:r>
    </w:p>
    <w:p>
      <w:pPr>
        <w:pStyle w:val="Heading3"/>
        <w:keepNext/>
        <w:keepLines/>
      </w:pPr>
      <w:r>
        <w:t>Actualización de benchmarks:</w:t>
      </w:r>
    </w:p>
    <w:p>
      <w:pPr>
        <w:pStyle w:val="ListBullet"/>
        <w:keepLines w:val="1"/>
        <w:keepNext w:val="1"/>
        <w:widowControl w:val="1"/>
      </w:pPr>
      <w:r>
        <w:t>Los valores de la hoja BENCHMARK deben actualizarse anualmente con los datos del informe ENISA NIS Investments del año en curso</w:t>
      </w:r>
    </w:p>
    <w:p>
      <w:pPr>
        <w:pStyle w:val="ListBullet"/>
        <w:keepLines w:val="1"/>
        <w:widowControl w:val="1"/>
      </w:pPr>
      <w:r>
        <w:t>Fuente primaria para benchmarks nacionales: Balance de Ciberseguridad anual de INCIBE</w:t>
      </w:r>
    </w:p>
    <w:p>
      <w:pPr>
        <w:pStyle w:val="Heading3"/>
        <w:keepNext/>
        <w:keepLines/>
      </w:pPr>
      <w:r>
        <w:t>Compatibilidad:</w:t>
      </w:r>
    </w:p>
    <w:p>
      <w:pPr>
        <w:pStyle w:val="ListBullet"/>
        <w:keepLines w:val="1"/>
        <w:keepNext w:val="1"/>
        <w:widowControl w:val="1"/>
      </w:pPr>
      <w:r>
        <w:t>Microsoft Excel 365 / 2019 / 2021 (PC y Mac)</w:t>
      </w:r>
    </w:p>
    <w:p>
      <w:pPr>
        <w:pStyle w:val="ListBullet"/>
        <w:keepLines w:val="1"/>
        <w:keepNext w:val="1"/>
        <w:widowControl w:val="1"/>
      </w:pPr>
      <w:r>
        <w:t>Google Sheets (con adaptación de algunas funciones: BUSCARV → VLOOKUP, VNA → NPV)</w:t>
      </w:r>
    </w:p>
    <w:p>
      <w:pPr>
        <w:pStyle w:val="ListBullet"/>
        <w:keepLines w:val="1"/>
        <w:widowControl w:val="1"/>
      </w:pPr>
      <w:r>
        <w:t>LibreOffice Calc (compatibilidad parcial; requiere verificación de fórmulas avanzadas)</w:t>
      </w:r>
    </w:p>
    <w:p>
      <w:r>
        <w:rPr>
          <w:i/>
        </w:rPr>
        <w:t>© 2026 · Plantilla IGM/ROI CSCRM España · Documento (e) del Kit de Encuesta</w:t>
      </w:r>
      <w:r/>
      <w:r>
        <w:br/>
      </w:r>
      <w:r>
        <w:rPr>
          <w:i/>
        </w:rPr>
        <w:t>Referencias para valores de benchmark: ENISA NIS Investments 2025 · ENISA Good Practices SC 2023 · Cipher/Prosegur Supply Chain Report 2026 · FAIR Institute State of Cyber Risk Management 2025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