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— Kit de Encuesta CSCRM España 2026</w:t>
      </w:r>
    </w:p>
    <w:p>
      <w:pPr>
        <w:pStyle w:val="Heading3"/>
        <w:keepNext/>
        <w:keepLines/>
      </w:pPr>
      <w:r>
        <w:t>Guía de inicio rápido e inventario completo del kit</w:t>
      </w:r>
    </w:p>
    <w:p>
      <w:r>
        <w:rPr>
          <w:b/>
        </w:rPr>
        <w:t>Versión 1.0 · Documento (g) del Kit de Encuesta CSCRM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██████╗███████╗ ██████╗██████╗ ███╗   ███╗    ██╗  ██╗██╗████████╗</w:t>
        <w:br/>
        <w:t>██╔════╝██╔════╝██╔════╝██╔══██╗████╗ ████║    ██║ ██╔╝██║╚══██╔══╝</w:t>
        <w:br/>
        <w:t xml:space="preserve">██║     ███████╗██║     ██████╔╝██╔████╔██║    █████╔╝ ██║   ██║   </w:t>
        <w:br/>
        <w:t xml:space="preserve">██║     ╚════██║██║     ██╔══██╗██║╚██╔╝██║    ██╔═██╗ ██║   ██║   </w:t>
        <w:br/>
        <w:t xml:space="preserve">╚██████╗███████║╚██████╗██║  ██║██║ ╚═╝ ██║    ██║  ██╗██║   ██║   </w:t>
        <w:br/>
        <w:t xml:space="preserve"> ╚═════╝╚══════╝ ╚═════╝╚═╝  ╚═╝╚═╝     ╚═╝    ╚═╝  ╚═╝╚═╝   ╚═╝  </w:t>
        <w:br/>
        <w:br/>
        <w:t xml:space="preserve">     Gestión de Riesgos de Ciberseguridad en la Cadena de Suministro</w:t>
        <w:br/>
        <w:t xml:space="preserve">                     España · 2026 · Versión 1.0</w:t>
        <w:br/>
      </w:r>
    </w:p>
    <w:p>
      <w:pPr>
        <w:pStyle w:val="Heading2"/>
        <w:keepNext/>
        <w:keepLines/>
      </w:pPr>
      <w:r>
        <w:rPr>
          <w:color w:val="0066CC"/>
        </w:rPr>
        <w:t>¿Qué es este kit?</w:t>
      </w:r>
    </w:p>
    <w:p>
      <w:r>
        <w:t xml:space="preserve">El </w:t>
      </w:r>
      <w:r>
        <w:rPr>
          <w:b/>
        </w:rPr>
        <w:t>Kit de Encuesta CSCRM España 2026</w:t>
      </w:r>
      <w:r>
        <w:t xml:space="preserve"> es un conjunto integrado de siete instrumentos de investigación, análisis y comunicación diseñados para evaluar, medir y mejorar la madurez de las organizaciones españolas en la </w:t>
      </w:r>
      <w:r>
        <w:rPr>
          <w:b/>
        </w:rPr>
        <w:t>Gestión de Riesgos de Ciberseguridad en la Cadena de Suministro (CSCRM)</w:t>
      </w:r>
      <w:r>
        <w:t>.</w:t>
      </w:r>
    </w:p>
    <w:p>
      <w:r>
        <w:t>No es un cuestionario de cumplimiento normativo. No es una auditoría. Es un espejo de diagnóstico que permite a cada organización saber exactamente dónde está, adónde necesita llegar y cuánto le costará —en euros y en meses— el camino.</w:t>
      </w:r>
    </w:p>
    <w:p>
      <w:pPr>
        <w:pStyle w:val="Heading2"/>
        <w:keepNext/>
        <w:keepLines/>
      </w:pPr>
      <w:r>
        <w:rPr>
          <w:color w:val="0066CC"/>
        </w:rPr>
        <w:t>Inventario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CSCRM-encuesta-integral.md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(a) Modelo de Encuesta — Parte 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Bloques 0 a VI (perfil, gobernanza, inventario, contratos, supervisión, respuesta, continuidad)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CSCRM-encuesta-p2.md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(a) Modelo de Encuesta — Parte 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Bloques VII a XI (SBOM, PQC, IA, Zero Trust, intercambio de información, cumplimiento, madurez global)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CSCRM-guia-metodologica.md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(b) Guía Metodológica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Fundamento epistemológico, diseño muestral, sistema de puntuación IGM, análisis de datos, consideraciones éticas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CSCRM-narrativa-explicativa.md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(c) Narrativa Explicativa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Por qué esta encuesta, por qué ahora, anatomía del problema, contexto normativo español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CSCRM-mapeo-normativo.md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(d) Mapeo Normativo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Tabla completa de correspondencia de cada pregunta con ENS, NIS2, NIST CSF 2.0, ISO 27001:2022, IMC INCIBE-CERT, CRA, PQC, 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CSCRM-plantilla-igm-roi.md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(e) Plantilla Excel IGM/ROI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Descripción funcional completa del libro Excel de 8 hojas: entrada de datos, cálculo IGM, benchmark, ROI, hoja de ruta, dashboard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CSCRM-reporte-ejecutivo-ppt.md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(f) Reporte Ejecutivo PPT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Estructura de 16 diapositivas para presentación ante Consejo / Comité de Dirección, con notas del presentador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README-CSCRM.md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(g) Este archivo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Guía de inicio rápido, inventario, instrucciones de uso, licencia, contacto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Inicio Rápido (Quick Start)</w:t>
      </w:r>
    </w:p>
    <w:p>
      <w:pPr>
        <w:pStyle w:val="Heading3"/>
        <w:keepNext/>
        <w:keepLines/>
      </w:pPr>
      <w:r>
        <w:t>Para el investigador / equipo de ciberseguridad: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PASO 1 → Leer la Narrativa Explicativa (c) para comprender el contexto</w:t>
        <w:br/>
        <w:t>PASO 2 → Revisar la Guía Metodológica (b) para entender el diseño y la puntuación</w:t>
        <w:br/>
        <w:t>PASO 3 → Revisar el Mapeo Normativo (d) para identificar los marcos aplicables</w:t>
        <w:br/>
        <w:t>PASO 4 → Distribuir la Encuesta Integral (a) = Parte 1 + Parte 2</w:t>
        <w:br/>
        <w:t>PASO 5 → Introducir las respuestas en la Plantilla Excel IGM/ROI (e)</w:t>
        <w:br/>
        <w:t>PASO 6 → El Excel genera automáticamente: IGM, benchmark, brecha, hoja de ruta y ROI</w:t>
        <w:br/>
        <w:t>PASO 7 → Usar la Plantilla PPT (f) para presentar los resultados a la Dirección</w:t>
        <w:br/>
      </w:r>
    </w:p>
    <w:p>
      <w:pPr>
        <w:pStyle w:val="Heading3"/>
        <w:keepNext/>
        <w:keepLines/>
      </w:pPr>
      <w:r>
        <w:t>Para el encuestado (CISO / CSO / CIO):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Leer las Instrucciones Generales al inicio de la Encuesta Integral</w:t>
        <w:br/>
        <w:t>2. Cumplimentar los 12 bloques temáticos (tiempo estimado: 45-75 minutos)</w:t>
        <w:br/>
        <w:t>3. Ser honesto. La encuesta no audita; diagnostica.</w:t>
        <w:br/>
        <w:t>4. Completar el campo abierto P11.6 — es el más valioso de todos.</w:t>
        <w:br/>
        <w:t>5. Enviar al responsable de la investigación o introducir en la plataforma digital</w:t>
        <w:br/>
      </w:r>
    </w:p>
    <w:p>
      <w:pPr>
        <w:pStyle w:val="Heading3"/>
        <w:keepNext/>
        <w:keepLines/>
      </w:pPr>
      <w:r>
        <w:t>Para la Alta Dirección / Consejo de Administración: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→ Ir directamente a la Narrativa Explicativa (c): lectura de 15 minutos</w:t>
        <w:br/>
        <w:t>→ Ver la Diapositiva 2 del Reporte Ejecutivo (f): "El problema en un número"</w:t>
        <w:br/>
        <w:t>→ Revisar las Diapositivas 5, 10 y 13: IGM, ROI y decisiones requeridas</w:t>
        <w:br/>
      </w:r>
    </w:p>
    <w:p>
      <w:pPr>
        <w:pStyle w:val="Heading2"/>
        <w:keepNext/>
        <w:keepLines/>
      </w:pPr>
      <w:r>
        <w:rPr>
          <w:color w:val="0066CC"/>
        </w:rPr>
        <w:t>Arquitectura del Sistema de Indicadores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ENCUESTA (55 preguntas)</w:t>
        <w:br/>
        <w:t xml:space="preserve">    │</w:t>
        <w:br/>
        <w:t xml:space="preserve">    ├── BLOQUE 0: Perfil organizativo (6P)</w:t>
        <w:br/>
        <w:t xml:space="preserve">    │</w:t>
        <w:br/>
        <w:t xml:space="preserve">    ├── DOMINIO GOBERNANZA (Bloques I + parte XI)</w:t>
        <w:br/>
        <w:t xml:space="preserve">    │   ├── P1.1–P1.8: Estrategia, política, roles, formación</w:t>
        <w:br/>
        <w:t xml:space="preserve">    │   └── IGM-G (peso 20%)</w:t>
        <w:br/>
        <w:t xml:space="preserve">    │</w:t>
        <w:br/>
        <w:t xml:space="preserve">    ├── DOMINIO IDENTIFICACIÓN (Bloque II)</w:t>
        <w:br/>
        <w:t xml:space="preserve">    │   ├── P2.1–P2.8: Inventario, clasificación, BIA, n-tier, due diligence</w:t>
        <w:br/>
        <w:t xml:space="preserve">    │   └── IGM-I (peso 20%)</w:t>
        <w:br/>
        <w:t xml:space="preserve">    │</w:t>
        <w:br/>
        <w:t xml:space="preserve">    ├── DOMINIO PROTECCIÓN (Bloques III + VII + VIII)</w:t>
        <w:br/>
        <w:t xml:space="preserve">    │   ├── P3.1–P3.6: Contratos, SBOM, PQC, subcontratistas</w:t>
        <w:br/>
        <w:t xml:space="preserve">    │   ├── P7.1–P7.8: SBOM, PQC, AIBOM, integridad artefactos, drift IA</w:t>
        <w:br/>
        <w:t xml:space="preserve">    │   ├── P8.1–P8.5: Zero Trust, mínimo privilegio, PAM, logging</w:t>
        <w:br/>
        <w:t xml:space="preserve">    │   └── IGM-P (peso 25%)</w:t>
        <w:br/>
        <w:t xml:space="preserve">    │</w:t>
        <w:br/>
        <w:t xml:space="preserve">    ├── DOMINIO DETECCIÓN (Bloque IV)</w:t>
        <w:br/>
        <w:t xml:space="preserve">    │   ├── P4.1–P4.7: Monitorización, ANS, reporte proveedor, tiempo detección</w:t>
        <w:br/>
        <w:t xml:space="preserve">    │   └── IGM-D (peso 20%)</w:t>
        <w:br/>
        <w:t xml:space="preserve">    │</w:t>
        <w:br/>
        <w:t xml:space="preserve">    └── DOMINIO RESILIENCIA (Bloques V + VI + IX + X + XI)</w:t>
        <w:br/>
        <w:t xml:space="preserve">        ├── P5.1–P5.4: PRI con CS, ejercicios, notificación, alternativas</w:t>
        <w:br/>
        <w:t xml:space="preserve">        ├── P6.1–P6.3: BCP, pruebas, RTO real</w:t>
        <w:br/>
        <w:t xml:space="preserve">        ├── P9.1–P9.4: ISACs, cooperación, alertas, evaluaciones coordinadas</w:t>
        <w:br/>
        <w:t xml:space="preserve">        ├── P10.1–P10.5: Gap analysis, ciclo de vida, incidentes, marcos</w:t>
        <w:br/>
        <w:t xml:space="preserve">        └── IGM-R (peso 15%)</w:t>
        <w:br/>
        <w:br/>
        <w:t>IGM GLOBAL = (IGM-G × 0,20) + (IGM-I × 0,20) + (IGM-P × 0,25) + (IGM-D × 0,20) + (IGM-R × 0,15)</w:t>
        <w:br/>
      </w:r>
    </w:p>
    <w:p>
      <w:pPr>
        <w:pStyle w:val="Heading2"/>
        <w:keepNext/>
        <w:keepLines/>
      </w:pPr>
      <w:r>
        <w:rPr>
          <w:color w:val="0066CC"/>
        </w:rPr>
        <w:t>Marco Normativo de Referencia</w:t>
      </w:r>
    </w:p>
    <w:p>
      <w:r>
        <w:t>Este kit está alineado con los siguientes marcos y normas: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Relevancia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SP 800-161r1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Nov. 2024 update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Marco C-SCRM principal de referencia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Cybersecurity Framework 2.0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Feb. 2024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Subcategorías GV.SC-01 a GV.SC-10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SP 800-55 Vol. 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Dic. 2024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Guía de medición para seguridad de la información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ENS RD 311/2022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May. 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Marco obligatorio España; controles op.ext, POC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Anteproyecto Ley Coordinación y Gobernanza Ciberseguridad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Ene.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Transposición NIS2 España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NIS2 (UE 2022/2555)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Oct. 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Marco europeo; Art. 21, 22, 23, 29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Oct. 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Cláusulas 5.19–5.23 (seguridad en relaciones con proveedores)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ISO/IEC 27036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2021-2023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Seguridad en relaciones con proveedores (serie completa)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IEC 62443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2018-2023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Ciberseguridad en sistemas de automatización industrial (OT)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DORA (UE 2022/2554)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 vigor desde ene.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Resiliencia operativa digital; sector financiero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Cyber Resilience Act (CRA)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2024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SBOM y requisitos de seguridad para productos digitales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INCIBE-CERT IMC v2.8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Feb. 2023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46 métricas de ciberresiliencia; escala L0-L5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CCN-CERT / ISMS Forum Cuestionario Unificado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Feb.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Modelo español de evaluación de proveedores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FAIR Institute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Cuantificación de riesgo cibernético (modelo ROI)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ENISA NIS Investments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Dic.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Benchmarks europeos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ENISA NIS360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Mar.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Madurez sectorial NIS2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ENISA SBOM Landscape Analysis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Dic.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Estado del arte SBOM en la UE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ACSC AI/ML Supply Chain Guidance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Oct.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Riesgos IA en cadena de suministro; AIBOM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Cipher/Prosegur Supply Chain Report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Feb.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Indicadores cuantitativos de situación España/global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NIST FIPS 203/204/205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Ago. 2024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Estándares PQC: ML-KEM, ML-DSA, SLH-DSA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Preguntas Frecuentes</w:t>
      </w:r>
    </w:p>
    <w:p>
      <w:r>
        <w:rPr>
          <w:b/>
        </w:rPr>
        <w:t>¿Cuánto tiempo lleva cumplimentar la encuesta?</w:t>
      </w:r>
      <w:r/>
      <w:r>
        <w:br/>
        <w:t>Entre 45 y 75 minutos para un encuestado con conocimiento del estado de ciberseguridad de su organización. Para organizaciones donde el CISO debe consultar con otros departamentos (Compras, Legal, TI), puede requerir hasta 2 horas de trabajo coordinado.</w:t>
      </w:r>
    </w:p>
    <w:p>
      <w:r>
        <w:rPr>
          <w:b/>
        </w:rPr>
        <w:t>¿Es obligatorio responder todas las preguntas?</w:t>
      </w:r>
      <w:r/>
      <w:r>
        <w:br/>
        <w:t>No. Las preguntas marcadas con (*) son opcionales. Sin embargo, las preguntas no respondidas generarán una puntuación L0 en el cálculo del IGM, lo que puede distorsionar el resultado a la baja.</w:t>
      </w:r>
    </w:p>
    <w:p>
      <w:r>
        <w:rPr>
          <w:b/>
        </w:rPr>
        <w:t>¿Con qué frecuencia debe realizarse esta evaluación?</w:t>
      </w:r>
      <w:r/>
      <w:r>
        <w:br/>
        <w:t>Se recomienda con carácter anual, idealmente en el primer trimestre de cada año, para poder incorporar los resultados al proceso de planificación estratégica y presupuestaria.</w:t>
      </w:r>
    </w:p>
    <w:p>
      <w:r>
        <w:rPr>
          <w:b/>
        </w:rPr>
        <w:t>¿Los resultados son confidenciales?</w:t>
      </w:r>
      <w:r/>
      <w:r>
        <w:br/>
        <w:t>Sí. En el contexto de investigación académica, todas las respuestas son tratadas de forma agregada y anonimizada. Las organizaciones que participen individualmente para uso interno conservarán la confidencialidad total de sus resultados.</w:t>
      </w:r>
    </w:p>
    <w:p>
      <w:r>
        <w:rPr>
          <w:b/>
        </w:rPr>
        <w:t>¿Este kit sustituye a una auditoría de ciberseguridad?</w:t>
      </w:r>
      <w:r/>
      <w:r>
        <w:br/>
        <w:t>No. Es un instrumento de autoevaluación basado en declaración del encuestado. Los resultados son indicativos, no certificatorios. Para una evaluación auditada se recomienda complementar con el proceso de certificación ENS o ISO 27001, o con una auditoría por tercero acreditado.</w:t>
      </w:r>
    </w:p>
    <w:p>
      <w:r>
        <w:rPr>
          <w:b/>
        </w:rPr>
        <w:t>¿Puedo adaptar el kit a las necesidades específicas de mi organización?</w:t>
      </w:r>
      <w:r/>
      <w:r>
        <w:br/>
        <w:t>Sí, con atribución a las fuentes originales. El kit está diseñado para ser modular: pueden incorporarse preguntas sectoriales adicionales, ajustarse los pesos del IGM según el perfil de riesgo de la organización o integrarse con metodologías propias ya existentes.</w:t>
      </w:r>
    </w:p>
    <w:p>
      <w:r>
        <w:rPr>
          <w:b/>
        </w:rPr>
        <w:t>¿Existe versión digital del formulario (Google Forms / Microsoft Forms / LimeSurvey)?</w:t>
      </w:r>
      <w:r/>
      <w:r>
        <w:br/>
        <w:t>La versión digital está disponible bajo petición. Contacte con el equipo de investigación para acceder a la versión digital con cálculo automático del IGM y generación automática del informe individual.</w:t>
      </w:r>
    </w:p>
    <w:p>
      <w:pPr>
        <w:pStyle w:val="Heading2"/>
        <w:keepNext/>
        <w:keepLines/>
      </w:pPr>
      <w:r>
        <w:rPr>
          <w:color w:val="0066CC"/>
        </w:rPr>
        <w:t>Registro de Cambios (Changelog)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Cambios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Abr.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Versión inicial del kit completo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1.1 (prevista)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Oct. 2026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Actualización benchmarks con ENISA NIS Investments 2026; incorporación requisitos CRA en vigor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1.2 (prevista)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Ene. 2027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Revisión tras publicación de la Ley de Coordinación y Gobernanza de la Ciberseguridad española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Licencia y Atribución</w:t>
      </w:r>
    </w:p>
    <w:p>
      <w:r>
        <w:t xml:space="preserve">Este kit se distribuye bajo licencia </w:t>
      </w:r>
      <w:r>
        <w:rPr>
          <w:b/>
        </w:rPr>
        <w:t>Creative Commons BY-NC-SA 4.0</w:t>
      </w:r>
      <w:r>
        <w:t>:</w:t>
      </w:r>
      <w:r/>
      <w:r>
        <w:br/>
        <w:t>- ✅ Puede usarse libremente con fines académicos, de investigación y no comerciales</w:t>
      </w:r>
      <w:r/>
      <w:r>
        <w:br/>
        <w:t>- ✅ Puede adaptarse y distribuirse con atribución al trabajo original</w:t>
      </w:r>
      <w:r/>
      <w:r>
        <w:br/>
        <w:t>- ❌ No puede usarse con fines comerciales sin autorización expresa</w:t>
      </w:r>
      <w:r/>
      <w:r>
        <w:br/>
        <w:t>- ❌ Las adaptaciones deben distribuirse bajo la misma licencia</w:t>
      </w:r>
    </w:p>
    <w:p>
      <w:r>
        <w:rPr>
          <w:b/>
        </w:rPr>
        <w:t>Atribución recomendada:</w:t>
      </w:r>
    </w:p>
    <w:p>
      <w:r>
        <w:rPr>
          <w:i/>
        </w:rPr>
        <w:t>Kit de Encuesta CSCRM España 2026, v1.0. Elaborado con base en NIST SP 800-161r1, NIST CSF 2.0, INCIBE-CERT IMC v2.8, CCN-CERT/ISMS Forum Cuestionario Unificado (feb. 2025), ENS RD 311/2022, ENISA NIS Investments 2025 y Cipher/Prosegur Supply Chain Report 2026.</w:t>
      </w:r>
    </w:p>
    <w:p>
      <w:pPr>
        <w:pStyle w:val="Heading2"/>
        <w:keepNext/>
        <w:keepLines/>
      </w:pPr>
      <w:r>
        <w:rPr>
          <w:color w:val="0066CC"/>
        </w:rPr>
        <w:t>Contacto y Soporte</w:t>
      </w:r>
    </w:p>
    <w:p>
      <w:r>
        <w:t>Para consultas sobre el kit, solicitar la versión digital de la encuesta, participar en el estudio sectorial agregado o solicitar formación en la aplicación del modelo IGM/ROI:</w:t>
      </w:r>
    </w:p>
    <w:p>
      <w:pPr>
        <w:pStyle w:val="ListBullet"/>
        <w:keepLines w:val="1"/>
        <w:keepNext w:val="1"/>
        <w:widowControl w:val="1"/>
      </w:pPr>
      <w:r>
        <w:t>Foro Nacional de Ciberseguridad (DSN): www.dsn.gob.es</w:t>
      </w:r>
    </w:p>
    <w:p>
      <w:pPr>
        <w:pStyle w:val="ListBullet"/>
        <w:keepLines w:val="1"/>
        <w:keepNext w:val="1"/>
        <w:widowControl w:val="1"/>
      </w:pPr>
      <w:r>
        <w:t>INCIBE-CERT: www.incibe-cert.es · Línea 017</w:t>
      </w:r>
    </w:p>
    <w:p>
      <w:pPr>
        <w:pStyle w:val="ListBullet"/>
        <w:keepLines w:val="1"/>
        <w:keepNext w:val="1"/>
        <w:widowControl w:val="1"/>
      </w:pPr>
      <w:r>
        <w:t>CCN-CERT: www.ccn-cert.cni.es</w:t>
      </w:r>
    </w:p>
    <w:p>
      <w:pPr>
        <w:pStyle w:val="ListBullet"/>
        <w:keepLines w:val="1"/>
        <w:widowControl w:val="1"/>
      </w:pPr>
      <w:r>
        <w:t>ISMS Forum Spain: www.ismsforum.es</w:t>
      </w:r>
    </w:p>
    <w:p>
      <w:r>
        <w:rPr>
          <w:i/>
        </w:rPr>
        <w:t>"La cadena de suministro no tiene un problema de tecnología. Tiene un problema de visibilidad. Este kit es, ante todo, un instrumento de visibilidad."</w:t>
      </w:r>
    </w:p>
    <w:p>
      <w:r>
        <w:rPr>
          <w:i/>
        </w:rPr>
        <w:t>© 2026 · README del Kit de Encuesta CSCRM España · Documento (g)</w:t>
      </w:r>
      <w:r/>
      <w:r>
        <w:br/>
      </w:r>
      <w:r>
        <w:rPr>
          <w:i/>
        </w:rPr>
        <w:t>Versión 1.0 ·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