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GQM+PRAGMATIC — Trazabilidad a Requisitos Normativos</w:t>
      </w:r>
    </w:p>
    <w:p>
      <w:pPr>
        <w:pStyle w:val="Heading3"/>
        <w:keepNext/>
        <w:keepLines/>
      </w:pPr>
      <w:r>
        <w:t>20 Indicadores × Objetivos GQM × Marcos Normativos × Calidad PRAGMATIC</w:t>
      </w:r>
    </w:p>
    <w:p>
      <w:r>
        <w:rPr>
          <w:b/>
        </w:rPr>
        <w:t>Versión 1.0 · Documento (d) del Kit GQM+PRAGMATIC CSCRM</w:t>
      </w:r>
    </w:p>
    <w:p>
      <w:r>
        <w:rPr>
          <w:b/>
        </w:rPr>
        <w:t>Leyenda:</w:t>
      </w:r>
      <w:r>
        <w:t xml:space="preserve"> ✅ Mandatorio · 📋 Buena práctica · 🔜 En vigor progresivo · ⚡ Emergente</w:t>
      </w:r>
    </w:p>
    <w:p>
      <w:pPr>
        <w:pStyle w:val="Heading2"/>
        <w:keepNext/>
        <w:keepLines/>
      </w:pPr>
      <w:r>
        <w:rPr>
          <w:color w:val="0066CC"/>
        </w:rPr>
        <w:t>Tabla Maestra de Trazabilidad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Obj.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SP 800-161r1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311/2022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España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27001:2022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M01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Tasa Incidentes CSCRM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RS.MA-01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C-RS.MA-1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op.exp.7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23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5.26-5.27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63 ⚠️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M02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MTTD-SC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DE.AE-04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C-DE.CM-9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op.exp.1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23 24h/72h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9.1 📋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66 ✅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M03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Coste Medio Incidente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RS.MA-02 📋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op.exp.7 📋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23 📋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5.27 📋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57 ⚠️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M04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Tasa Org. con Incidente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DE.AE-04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C-RS.MA-1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op.exp.1-7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23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5.26 📋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57 ⚠️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M05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Política CSCRM Formal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GV.SC-01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C-GV.SC-1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org.1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21.1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5.19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69 ✅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M06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Inventario Proveedores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ID.AM-05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C-ID.SC-2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op.ext.1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21.2.d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5.19-8.4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69 ✅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M07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Distribución IGM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Todos GV.SC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Todos C-GV.SC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Múltiples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9.1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69 ✅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M08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Due Diligence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GV.SC-06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C-GV.SC-6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op.ext.1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21.2.d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5.19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69 ✅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M09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Brecha por Dominio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GV.SC completo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Todos C-GV.SC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Todos op.ext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9.1-9.3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75 ✅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M10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Cobertura N-Tier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GV.SC-04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C-ID.SC-4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op.ext.1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21.2.d+22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8.4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60 ⚠️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M11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Cobertura SBOM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GV.SC-05 🔜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C-GV.SC-5 🔜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op.mon.4 🔜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CRA Art. 13 🔜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8.8 🔜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72 ✅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M12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Madurez PQC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GV.SC-05 🔜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 🔜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Roadmap CE PQC 🔜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8.24 🔜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63 ⚠️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M13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PRI con CS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GV.SC-08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C-RS.RP-1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op.exp.7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21.2.a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5.26-5.28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69 ✅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M14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Plazos NIS2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RS.CO-04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C-RS.CO-4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op.exp.7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23 24h/72h/1m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5.28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75 ✅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M15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Participación ISACs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GV.SC-10 📋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C-GV.SC-10 📋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29 📋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5.5-5.6 📋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63 ⚠️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M16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Ejercicios con Prov.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GV.SC-08 📋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C-GV.SC-8 📋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op.exp.7 📋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21.2.a 📋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5.26 📋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69 ✅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M17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Zero Trust Prov.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O2+O3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PR.AA-05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op.acc.1/4/5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21.2.i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8.2-8.3 📋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66 ✅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M18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Cláusulas Contractuales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GV.SC-05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C-GV.SC-5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op.ext.1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21.4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5.20-5.21 ✅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75 ✅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M19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IA/ML Evaluados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GV.SC-04 ⚡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Reg. IA UE 2024/1689 ⚡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63 ⚠️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M20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Ciclo de Vida Prov.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O2+O3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GV.SC-10 ✅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C-GV.SC-10 ✅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op.ext.1 ✅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Art. 21.2.d ✅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5.19-5.23 ✅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78 ✅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Cobertura por Marco Normativo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Indicadores cubiertos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Obligatoriedad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20/20 (100%)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Referencia en UE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 SP 800-161r1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16/20 (80%)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Referencia técnica máxima CSCRM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ENS RD 311/2022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17/20 (85%)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 Mandatorio sector público + proveedores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NIS2 / Anteproyecto Ley España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20/20 (100%)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 Mandatorio entidades esenciales e importantes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18/20 (90%)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📋 Voluntario / exigido contractualmente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INCIBE-CERT IMC v2.8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11/20 (55%)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📋 Marco de referencia nacional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CRA (UE 2024/2847)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2/20 (10%)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🔜 Mandatorio progresivo 2025-2027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Roadmap PQC CE + NIST FIPS 203/204/205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2/20 (10%)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🔜 Mandatorio progresivo 2026-2035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Normas Críticas por Objetivo GQM</w:t>
      </w:r>
    </w:p>
    <w:p>
      <w:pPr>
        <w:pStyle w:val="Heading3"/>
        <w:keepNext/>
        <w:keepLines/>
      </w:pPr>
      <w:r>
        <w:t>O1 — Norma crítica: NIS2 Art. 23</w:t>
      </w:r>
    </w:p>
    <w:p>
      <w:r>
        <w:t>Plazos: 24h alerta temprana · 72h notificación · 1 mes informe final.</w:t>
      </w:r>
      <w:r/>
      <w:r>
        <w:br/>
      </w:r>
      <w:r>
        <w:rPr>
          <w:b/>
        </w:rPr>
        <w:t>Sanción por incumplimiento: hasta 10 M€ o 2% facturación global</w:t>
      </w:r>
      <w:r>
        <w:t xml:space="preserve"> (entidades esenciales).</w:t>
      </w:r>
    </w:p>
    <w:p>
      <w:pPr>
        <w:pStyle w:val="Heading3"/>
        <w:keepNext/>
        <w:keepLines/>
      </w:pPr>
      <w:r>
        <w:t>O2 — Norma crítica: NIST SP 800-161r1 (nov. 2024)</w:t>
      </w:r>
    </w:p>
    <w:p>
      <w:r>
        <w:t>12 tareas C-GV.SC que cubren el ciclo completo de CSCRM.</w:t>
      </w:r>
      <w:r/>
      <w:r>
        <w:br/>
        <w:t>Guía más completa disponible a nivel global para gestión de riesgos en cadena de suministro.</w:t>
      </w:r>
    </w:p>
    <w:p>
      <w:pPr>
        <w:pStyle w:val="Heading3"/>
        <w:keepNext/>
        <w:keepLines/>
      </w:pPr>
      <w:r>
        <w:t>O3 — Norma crítica: Cyber Resilience Act (CRA, UE 2024/2847)</w:t>
      </w:r>
    </w:p>
    <w:p>
      <w:r>
        <w:t>Introduce por primera vez en la UE la obligación de SBOM para todos los productos con elementos digitales.</w:t>
      </w:r>
      <w:r/>
      <w:r>
        <w:br/>
        <w:t>Aplicación progresiva: 2025-2027. Impacto estructural en cadenas de suministro de software.</w:t>
      </w:r>
    </w:p>
    <w:p>
      <w:pPr>
        <w:pStyle w:val="Heading3"/>
        <w:keepNext/>
        <w:keepLines/>
      </w:pPr>
      <w:r>
        <w:t>O4 — Norma crítica: DORA (UE 2022/2554)</w:t>
      </w:r>
    </w:p>
    <w:p>
      <w:r>
        <w:t>En vigor desde enero 2025 para el sector financiero.</w:t>
      </w:r>
      <w:r/>
      <w:r>
        <w:br/>
        <w:t>TLPT obligatorio con proveedores TIC + registro de todos los proveedores TIC críticos.</w:t>
      </w:r>
    </w:p>
    <w:p>
      <w:pPr>
        <w:pStyle w:val="Heading2"/>
        <w:keepNext/>
        <w:keepLines/>
      </w:pPr>
      <w:r>
        <w:rPr>
          <w:color w:val="0066CC"/>
        </w:rPr>
        <w:t>Top 5 Indicadores con Mayor Densidad Normativa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Marcos cubiertos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M20 Ciclo de Vida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+ NIS2 + NIST CSF + SP 800-161r1 + ISO 27001 + IMC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78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M18 Cláusulas Contractuales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+ NIS2 Art.21.4 + NIST CSF + ISO 27001 + IMC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M06 Inventario Proveedores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Todos los marcos principales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69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M13 PRI con CS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+ NIS2 + NIST CSF + ISO 27001 + IMC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69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M07 IGM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Evaluación global simultánea de todos los marcos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69</w:t>
            </w:r>
          </w:p>
        </w:tc>
      </w:tr>
    </w:tbl>
    <w:p/>
    <w:p>
      <w:r>
        <w:rPr>
          <w:i/>
        </w:rPr>
        <w:t>© 2026 · Mapeo Normativo GQM+PRAGMATIC CSCRM · Documento (d)</w:t>
      </w:r>
      <w:r/>
      <w:r>
        <w:br/>
      </w:r>
      <w:r>
        <w:rPr>
          <w:i/>
        </w:rPr>
        <w:t>ENS RD 311/2022 · NIS2 UE 2022/2555 · NIST SP 800-161r1 nov.2024 · NIST CSF 2.0 feb.2024 · NIST SP 800-55v2 dic.2024 · ISO/IEC 27001:2022 · INCIBE-CERT IMC v2.8 · CRA UE 2024/2847 · NIST FIPS 203/204/205 ago.2024 · DORA UE 2022/2554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