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Excel GQM+PRAGMATIC — Calculadora CSCRM</w:t>
      </w:r>
    </w:p>
    <w:p>
      <w:pPr>
        <w:pStyle w:val="Heading3"/>
        <w:keepNext/>
        <w:keepLines/>
      </w:pPr>
      <w:r>
        <w:t>Descripción funcional para implementación en Microsoft Excel / Google Sheets</w:t>
      </w:r>
    </w:p>
    <w:p>
      <w:r>
        <w:rPr>
          <w:b/>
        </w:rPr>
        <w:t>Versión 1.0 · Documento (e) del Kit GQM+PRAGMATIC CSCRM</w:t>
      </w:r>
    </w:p>
    <w:p>
      <w:r>
        <w:rPr>
          <w:i/>
        </w:rPr>
        <w:t>"Una hoja de cálculo bien diseñada no es un formulario: es un sistema de pensamiento que trabaja cuando su diseñador no está en la sala."</w:t>
      </w:r>
    </w:p>
    <w:p>
      <w:pPr>
        <w:pStyle w:val="Heading2"/>
        <w:keepNext/>
        <w:keepLines/>
      </w:pPr>
      <w:r>
        <w:rPr>
          <w:color w:val="0066CC"/>
        </w:rPr>
        <w:t>1. Estructura del Libro — 10 Hojas</w:t>
      </w:r>
    </w:p>
    <w:p>
      <w:pPr>
        <w:pStyle w:val="Heading3"/>
        <w:keepNext/>
        <w:keepLines/>
      </w:pPr>
      <w:r>
        <w:t>Módulo I — Evaluación de Indicadores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Hoja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Nombre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Función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PORTADA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Identificación de la organización, instrucciones, versión, contexto normativo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INVENTARIO_INDICADORES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20 indicadores con metadata GQM completa + valores de referencia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PRAGMATIC_SCORECARD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Puntuación de los 9 criterios por indicador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RANKING_PRAGMATIC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Ranking automático + Conjunto Mínimo Viable</w:t>
            </w:r>
          </w:p>
        </w:tc>
      </w:tr>
    </w:tbl>
    <w:p/>
    <w:p>
      <w:pPr>
        <w:pStyle w:val="Heading3"/>
        <w:keepNext/>
        <w:keepLines/>
      </w:pPr>
      <w:r>
        <w:t>Módulo II — Medición Organizacional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Hoja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Nombre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Función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DATOS_MEDICION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Valores actuales de cada indicador (entrada de datos)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IGM_CALCULADO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IGM global y subíndices calculados automáticamente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BENCHMARK_GQM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Comparativa con valores de referencia y objetivos</w:t>
            </w:r>
          </w:p>
        </w:tc>
      </w:tr>
    </w:tbl>
    <w:p/>
    <w:p>
      <w:pPr>
        <w:pStyle w:val="Heading3"/>
        <w:keepNext/>
        <w:keepLines/>
      </w:pPr>
      <w:r>
        <w:t>Módulo III — Análisis y Reporting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Hoja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Nombre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Función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ROI_INDICADORES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ROI por indicador + modelo FAIR simplificado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HOJA_RUTA_GQM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Plan de acción priorizado GQM+PRAGMATIC+Normativa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10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DASHBOARD_EJECUTIVO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Panel con semáforos, radar y KPIs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2. Hoja 2 — INVENTARIO_INDICADORES</w:t>
      </w:r>
    </w:p>
    <w:p>
      <w:r>
        <w:t>Tabla de valores cargados en la hoja (referencia para implementación):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 w:val="1"/>
        </w:trPr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Unidad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Val. Ref. España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Obj. 2028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Obj. 2030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CMV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M01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Tasa Incidentes CSCRM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~22,5%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&lt;18%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&lt;12%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63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No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M02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MTTD-SC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días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~254d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&lt;90d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&lt;60d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66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M03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Coste Medio Incidente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M€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~4,33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&lt;3,5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&lt;2,5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57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No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M04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Tasa Org. con Incidente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~35%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&lt;25%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&lt;18%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57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No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M05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Política CSCRM Formal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~60%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≥80%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≥95%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69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No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M06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Inventario Proveedores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~55%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≥85%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≥95%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69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No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M07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Distribución IGM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0-5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~2,1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≥3,0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≥3,5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69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M08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Due Diligence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~40%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≥70%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≥85%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69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No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M09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Brecha por Dominio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0-5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≤1,0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≤0,5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M10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Cobertura N-Tier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~20%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≥50%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≥70%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60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No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M11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Cobertura SBOM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~15%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≥50%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≥75%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72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M12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Madurez PQC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0-4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~0,5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≥2,0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≥3,0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63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No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M13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PRI con CS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~30%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≥70%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≥85%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69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M14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Plazos NIS2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≥95%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≥99%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M15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ISACs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~20%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≥40%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≥55%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63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No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M16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Ejercicios con Prov.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N/año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~0,3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≥1,5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≥2,0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69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No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M17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Zero Trust Prov.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O2+O3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0-5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~1,5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≥3,0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≥4,0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66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No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M18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Cláusulas Contractuales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~45%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≥80%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≥95%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M19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IA/ML Evaluados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~10%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≥40%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≥65%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63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No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</w:pPr>
            <w:r>
              <w:t>M20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Ciclo de Vida Prov.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O2+O3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0-5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~1,8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≥3,5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≥4,5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78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Sí</w:t>
            </w:r>
          </w:p>
        </w:tc>
      </w:tr>
    </w:tbl>
    <w:p/>
    <w:p>
      <w:r>
        <w:rPr>
          <w:i/>
        </w:rPr>
        <w:t>Fuentes de valores de referencia: ENISA NIS360 2025 · ENISA NIS Investments 2025 · Cipher/Prosegur Supply Chain Report 2026 · INCIBE-CERT IMC v2.8</w:t>
      </w:r>
    </w:p>
    <w:p>
      <w:pPr>
        <w:pStyle w:val="Heading2"/>
        <w:keepNext/>
        <w:keepLines/>
      </w:pPr>
      <w:r>
        <w:rPr>
          <w:color w:val="0066CC"/>
        </w:rPr>
        <w:t>3. Hoja 3 — PRAGMATIC_SCORECARD</w:t>
      </w:r>
    </w:p>
    <w:p>
      <w:pPr>
        <w:pStyle w:val="Heading3"/>
        <w:keepNext/>
        <w:keepLines/>
      </w:pPr>
      <w:r>
        <w:t>Columnas: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A: ID indicador</w:t>
        <w:br/>
        <w:t>B: Nombre indicador</w:t>
        <w:br/>
        <w:t>C: P — Predictivo     (desplegable 0/3/6/9)</w:t>
        <w:br/>
        <w:t>D: R — Relevante      (desplegable 0/3/6/9)</w:t>
        <w:br/>
        <w:t>E: A — Accionable     (desplegable 0/3/6/9)</w:t>
        <w:br/>
        <w:t>F: G — Genuino        (desplegable 0/3/6/9)</w:t>
        <w:br/>
        <w:t>G: M — Significativo  (desplegable 0/3/6/9)</w:t>
        <w:br/>
        <w:t>H: Ac — Preciso       (desplegable 0/3/6/9)</w:t>
        <w:br/>
        <w:t>I: T — Oportuno       (desplegable 0/3/6/9)</w:t>
        <w:br/>
        <w:t>J: I — Independiente  (desplegable 0/3/6/9)</w:t>
        <w:br/>
        <w:t>K: C — Rentable       (desplegable 0/3/6/9)</w:t>
        <w:br/>
        <w:t>L: TOTAL              =SUMA(C:K)</w:t>
        <w:br/>
        <w:t>M: NIVEL              =SI(L&gt;=65;"✅ Alta";SI(L&gt;=40;"⚠️ Media";"❌ Débil"))</w:t>
        <w:br/>
      </w:r>
    </w:p>
    <w:p>
      <w:pPr>
        <w:pStyle w:val="Heading3"/>
        <w:keepNext/>
        <w:keepLines/>
      </w:pPr>
      <w:r>
        <w:t>Fórmulas de resumen (fila 23+):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=PROMEDIO(C2:C21)     → Media criterio P (repetir para D:K)</w:t>
        <w:br/>
        <w:t>=CONTAR.SI(M2:M21;"✅ Alta")   → N.º de indicadores de Alta calidad</w:t>
        <w:br/>
        <w:t>=CONTAR.SI(M2:M21;"⚠️ Media")  → N.º de indicadores de Media calidad</w:t>
        <w:br/>
      </w:r>
    </w:p>
    <w:p>
      <w:pPr>
        <w:pStyle w:val="Heading2"/>
        <w:keepNext/>
        <w:keepLines/>
      </w:pPr>
      <w:r>
        <w:rPr>
          <w:color w:val="0066CC"/>
        </w:rPr>
        <w:t>4. Hoja 5 — DATOS_MEDICION</w:t>
      </w:r>
    </w:p>
    <w:p>
      <w:pPr>
        <w:pStyle w:val="Heading3"/>
        <w:keepNext/>
        <w:keepLines/>
      </w:pPr>
      <w:r>
        <w:t>Columnas: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Valor actual (celda editable amarilla)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Fecha de medición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Fuente (desplegable: Encuesta / Auditoría / CCN-CERT / Cálculo interno)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Nivel de confianza (desplegable: Alta / Media / Baja)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J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Brecha = Objetivo - Valor actual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K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% avance = SI(D&gt;=I;1;D/I)×100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L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Semáforo = SI(K&gt;=90;"🟢";SI(K&gt;=60;"🟡";SI(K&gt;=30;"🟠";"🔴")))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5. Hoja 6 — IGM_CALCULADO</w:t>
      </w:r>
    </w:p>
    <w:p>
      <w:pPr>
        <w:pStyle w:val="Heading3"/>
        <w:keepNext/>
        <w:keepLines/>
      </w:pPr>
      <w:r>
        <w:t>Fórmulas de cálculo del IGM: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IGM_GOBERNANZA     = media(M05, M06, M08, M18, M20) normalizados 0-5</w:t>
        <w:br/>
        <w:t>IGM_IDENTIFICACION = media(M06, M08, M10) normalizados</w:t>
        <w:br/>
        <w:t>IGM_PROTECCION     = media(M11, M12, M17, M18, M20) normalizados</w:t>
        <w:br/>
        <w:t>IGM_DETECCION      = media(M01, M02, M04) con tabla de conversión</w:t>
        <w:br/>
        <w:t>IGM_RESILIENCIA    = media(M13, M14, M15, M16) normalizados</w:t>
        <w:br/>
        <w:br/>
        <w:t>IGM_GLOBAL = (IGM_G×0,20) + (IGM_I×0,20) + (IGM_P×0,25) + (IGM_D×0,20) + (IGM_R×0,15)</w:t>
        <w:br/>
        <w:br/>
        <w:t>IGM_PONDERADO_PRAGMATIC =</w:t>
        <w:br/>
        <w:t xml:space="preserve">  SUMA.PRODUCTO(valores_indicadores; pesos_PRAGMATIC_normalizados) / SUMA(pesos_PRAGMATIC)</w:t>
        <w:br/>
      </w:r>
    </w:p>
    <w:p>
      <w:pPr>
        <w:pStyle w:val="Heading3"/>
        <w:keepNext/>
        <w:keepLines/>
      </w:pPr>
      <w:r>
        <w:t>Tablas de conversión a escala 0-5: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MTTD-SC (días → 0-5):</w:t>
        <w:br/>
        <w:t xml:space="preserve">  &gt;365 = 0 | 181-365 = 1 | 91-180 = 2 | 31-90 = 3 | 8-30 = 4 | ≤7 = 5</w:t>
        <w:br/>
        <w:br/>
        <w:t>Porcentajes (% → 0-5):</w:t>
        <w:br/>
        <w:t xml:space="preserve">  &lt;20% = 0 | 20-39% = 1 | 40-59% = 2 | 60-79% = 3 | 80-94% = 4 | ≥95% = 5</w:t>
        <w:br/>
        <w:br/>
        <w:t>Cumplimiento NIS2 (% → 0-5):</w:t>
        <w:br/>
        <w:t xml:space="preserve">  &lt;60% = 0 | 60-74% = 1 | 75-84% = 2 | 85-94% = 3 | 95-98% = 4 | ≥99% = 5</w:t>
        <w:br/>
      </w:r>
    </w:p>
    <w:p>
      <w:pPr>
        <w:pStyle w:val="Heading2"/>
        <w:keepNext/>
        <w:keepLines/>
      </w:pPr>
      <w:r>
        <w:rPr>
          <w:color w:val="0066CC"/>
        </w:rPr>
        <w:t>6. Hoja 8 — ROI_INDICADORES</w:t>
      </w:r>
    </w:p>
    <w:p>
      <w:pPr>
        <w:pStyle w:val="Heading3"/>
        <w:keepNext/>
        <w:keepLines/>
      </w:pPr>
      <w:r>
        <w:t>Modelo FAIR simplificado: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ALE_base = N_proveedores × p_incidente × CMI_SC × Factor_IGM</w:t>
        <w:br/>
        <w:t xml:space="preserve">  p_incidente = 0,08 (8% anual — Cipher/Prosegur 2026)</w:t>
        <w:br/>
        <w:t xml:space="preserve">  CMI_SC = 4.330.000 € (coste medio — Cipher/Prosegur 2026)</w:t>
        <w:br/>
        <w:t xml:space="preserve">  Factor_IGM = SI(IGM&lt;2;1,6;SI(IGM&lt;3;1,3;SI(IGM&lt;4;1,0;0,75)))</w:t>
        <w:br/>
        <w:br/>
        <w:t>ALE_mejorado = ALE_base × (1 - Reduccion_acumulada)</w:t>
        <w:br/>
        <w:t>ROI_Mx = (Reduccion_ALE_Mx - Coste_mejora_Mx) / Coste_mejora_Mx × 100</w:t>
        <w:br/>
        <w:t>Payback = Inversion_total / Reduccion_ALE_mensual</w:t>
        <w:br/>
        <w:t>VAN_3a = VNA(8%; Rep1; Rep2; Rep3) - Inversion_año1</w:t>
        <w:br/>
      </w:r>
    </w:p>
    <w:p>
      <w:pPr>
        <w:pStyle w:val="Heading3"/>
        <w:keepNext/>
        <w:keepLines/>
      </w:pPr>
      <w:r>
        <w:t>Factores de reducción de riesgo por indicador (FAIR Institute 2025):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Factor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M02 MTTD-SC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Cada -30 días = -8% riesgo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M06 Inventario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Cada +10% = -3% riesgo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M11 SBOM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Cada +10% cobertura = -4% riesgo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M13 PRI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Pasar &lt;30% a &gt;70% = -15% riesgo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M18 Contratos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Cada +10% = -2% riesgo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M20 Ciclo Vida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Cada nivel L = -12% riesgo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7. Hoja 9 — HOJA_RUTA_GQM</w:t>
      </w:r>
    </w:p>
    <w:p>
      <w:pPr>
        <w:pStyle w:val="Heading3"/>
        <w:keepNext/>
        <w:keepLines/>
      </w:pPr>
      <w:r>
        <w:t>Fórmula de priorización integrada: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Puntuacion_prioridad =</w:t>
        <w:br/>
        <w:t xml:space="preserve">  (Brecha_normalizada × 3)</w:t>
        <w:br/>
        <w:t xml:space="preserve">  + (PRAGMATIC_score/81 × 2)</w:t>
        <w:br/>
        <w:t xml:space="preserve">  + (Obligatoriedad × 4)</w:t>
        <w:br/>
        <w:t xml:space="preserve">  + (Impacto_IGM × 3)</w:t>
        <w:br/>
        <w:t xml:space="preserve">  - (Esfuerzo × 2)</w:t>
        <w:br/>
        <w:br/>
        <w:t>Ranking = JERARQUIA(L_actual; $L$2:$L$21; 0)</w:t>
        <w:br/>
      </w:r>
    </w:p>
    <w:p>
      <w:pPr>
        <w:pStyle w:val="Heading2"/>
        <w:keepNext/>
        <w:keepLines/>
      </w:pPr>
      <w:r>
        <w:rPr>
          <w:color w:val="0066CC"/>
        </w:rPr>
        <w:t>8. Hoja 10 — DASHBOARD_EJECUTIVO</w:t>
      </w:r>
    </w:p>
    <w:p>
      <w:pPr>
        <w:pStyle w:val="Heading3"/>
        <w:keepNext/>
        <w:keepLines/>
      </w:pPr>
      <w:r>
        <w:t>Bloques del panel (formato A3 imprimible):</w:t>
      </w:r>
    </w:p>
    <w:p>
      <w:r>
        <w:rPr>
          <w:b/>
        </w:rPr>
        <w:t>Bloque 1 — KPIs de cabecera (4 celdas grandes):</w:t>
      </w:r>
      <w:r/>
      <w:r>
        <w:br/>
        <w:t>- IGM Global / 5,0 + semáforo</w:t>
      </w:r>
      <w:r/>
      <w:r>
        <w:br/>
        <w:t>- Puntuación PRAGMATIC media</w:t>
      </w:r>
      <w:r/>
      <w:r>
        <w:br/>
        <w:t>- MTTD-SC actual</w:t>
      </w:r>
      <w:r/>
      <w:r>
        <w:br/>
        <w:t>- ROI programa + Payback</w:t>
      </w:r>
    </w:p>
    <w:p>
      <w:r>
        <w:rPr>
          <w:b/>
        </w:rPr>
        <w:t>Bloque 2 — Gráfico radar doble:</w:t>
      </w:r>
      <w:r/>
      <w:r>
        <w:br/>
        <w:t>- Eje: 5 dominios CSCRM</w:t>
      </w:r>
      <w:r/>
      <w:r>
        <w:br/>
        <w:t>- Serie 1: valores actuales (azul)</w:t>
      </w:r>
      <w:r/>
      <w:r>
        <w:br/>
        <w:t>- Serie 2: objetivos 2028 (verde)</w:t>
      </w:r>
      <w:r/>
      <w:r>
        <w:br/>
        <w:t>- Serie 3: benchmark España (gris)</w:t>
      </w:r>
    </w:p>
    <w:p>
      <w:r>
        <w:rPr>
          <w:b/>
        </w:rPr>
        <w:t>Bloque 3 — Semáforos CMV (8 indicadores):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Indicador       | Valor | Obj. 2028 | Avance | Estado |</w:t>
        <w:br/>
        <w:t>| M02 MTTD-SC     | [X]d  | &lt;90d      | [XX]%  | [🔴]   |</w:t>
        <w:br/>
        <w:t>| M07 IGM         | [X,X] | ≥3,0      | [XX]%  | [🟡]   |</w:t>
        <w:br/>
        <w:t>| M09 Brecha Dom. | [X,X] | ≤1,0      | [XX]%  | [🟠]   |</w:t>
        <w:br/>
        <w:t>| M11 SBOM        | [X]%  | ≥50%      | [XX]%  | [🔴]   |</w:t>
        <w:br/>
        <w:t>| M13 PRI con CS  | [X]%  | ≥70%      | [XX]%  | [🟡]   |</w:t>
        <w:br/>
        <w:t>| M14 Plazos NIS2 | [X]%  | ≥95%      | [XX]%  | [🟢]   |</w:t>
        <w:br/>
        <w:t>| M18 Contratos   | [X]%  | ≥80%      | [XX]%  | [🟡]   |</w:t>
        <w:br/>
        <w:t>| M20 Ciclo Vida  | [X,X] | ≥3,5      | [XX]%  | [🔴]   |</w:t>
        <w:br/>
      </w:r>
    </w:p>
    <w:p>
      <w:pPr>
        <w:pStyle w:val="Heading2"/>
        <w:keepNext/>
        <w:keepLines/>
      </w:pPr>
      <w:r>
        <w:rPr>
          <w:color w:val="0066CC"/>
        </w:rPr>
        <w:t>9. Compatibilidad y Configuración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Software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Soporte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Notas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Microsoft Excel 365/2021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✅ Completo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Recomendado para macros y formato condicional avanzado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Google Sheets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✅ Funcional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VLOOKUP en lugar de BUSCARV; NPV en lugar de VNA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LibreOffice Calc 7.x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⚠️ Parcial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Limitaciones en formato condicional complejo</w:t>
            </w:r>
          </w:p>
        </w:tc>
      </w:tr>
    </w:tbl>
    <w:p/>
    <w:p>
      <w:r>
        <w:rPr>
          <w:b/>
        </w:rPr>
        <w:t>Configuración recomendada:</w:t>
      </w:r>
      <w:r/>
      <w:r>
        <w:br/>
        <w:t xml:space="preserve">- Bloquear celdas de fórmula; solo editables las marcadas en </w:t>
      </w:r>
      <w:r>
        <w:rPr>
          <w:b/>
        </w:rPr>
        <w:t>amarillo</w:t>
      </w:r>
      <w:r/>
      <w:r>
        <w:br/>
        <w:t>- Habilitar macros para actualización automática del ranking</w:t>
      </w:r>
      <w:r/>
      <w:r>
        <w:br/>
        <w:t>- Aplicar formato condicional (semáforos) en todas las hojas de medición</w:t>
      </w:r>
      <w:r/>
      <w:r>
        <w:br/>
        <w:t>- Habilitar Panel de Navegación para acceso rápido entre hojas</w:t>
      </w:r>
    </w:p>
    <w:p>
      <w:r>
        <w:rPr>
          <w:i/>
        </w:rPr>
        <w:t>© 2026 · Plantilla Excel GQM+PRAGMATIC CSCRM España · Documento (e)</w:t>
      </w:r>
      <w:r/>
      <w:r>
        <w:br/>
      </w:r>
      <w:r>
        <w:rPr>
          <w:i/>
        </w:rPr>
        <w:t>Brotby &amp; Hinson (2013) · NIST SP 800-55v2 dic. 2024 · FAIR Institute CRQ Guidelines 2025 · INCIBE-CERT IMC v2.8 · Cipher/Prosegur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