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 GQM+PRAGMATIC CSCRM</w:t>
      </w:r>
    </w:p>
    <w:p>
      <w:pPr>
        <w:pStyle w:val="Heading3"/>
        <w:keepNext/>
        <w:keepLines/>
      </w:pPr>
      <w:r>
        <w:t>18 Diapositivas para Consejo de Administración / Comité de Dirección</w:t>
      </w:r>
    </w:p>
    <w:p>
      <w:r>
        <w:rPr>
          <w:b/>
        </w:rPr>
        <w:t>Versión 1.0 · Documento (f) del Kit GQM+PRAGMATIC CSCRM</w:t>
      </w:r>
    </w:p>
    <w:p>
      <w:r>
        <w:rPr>
          <w:i/>
        </w:rPr>
        <w:t>"La diferencia entre un reporte de ciberseguridad que genera acción y uno que genera archivación es la calidad de los datos que lo sostienen."</w:t>
      </w:r>
    </w:p>
    <w:p>
      <w:pPr>
        <w:pStyle w:val="Heading2"/>
        <w:keepNext/>
        <w:keepLines/>
      </w:pPr>
      <w:r>
        <w:rPr>
          <w:color w:val="0066CC"/>
        </w:rPr>
        <w:t>Parámetros Generales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Diapositivas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Duración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30-40 min + Q&amp;A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Formato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16:9 widescreen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Audiencia primaria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Consejo de Administración / Comité de Dirección / Comité de Auditoría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Audiencia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Regulador (CCN-CERT, INCIBE, supervisores sectoriales)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Paleta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Azul #1A2B4A · Naranja #E87722 · Verde #2ECC71 · Gris #95A5A6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Clasificación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CONFIDENCIAL — USO INTERNO RESTRINGIDO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DIAPOSITIVA 1 — PORTADA</w:t>
      </w:r>
    </w:p>
    <w:p>
      <w:r>
        <w:rPr>
          <w:b/>
        </w:rPr>
        <w:t>Título:</w:t>
      </w:r>
      <w:r>
        <w:t xml:space="preserve"> Diagnóstico CSCRM con Marco GQM+PRAGMATIC</w:t>
      </w:r>
      <w:r/>
      <w:r>
        <w:br/>
      </w:r>
      <w:r>
        <w:rPr>
          <w:b/>
        </w:rPr>
        <w:t>Subtítulo:</w:t>
      </w:r>
      <w:r>
        <w:t xml:space="preserve"> [Organización] · [Sector] · [Mes/Año]</w:t>
      </w:r>
      <w:r/>
      <w:r>
        <w:br/>
      </w:r>
      <w:r>
        <w:rPr>
          <w:b/>
        </w:rPr>
        <w:t>Elementos visuales:</w:t>
      </w:r>
      <w:r>
        <w:t xml:space="preserve"> Red de nodos CS + gráfico radar en miniatura</w:t>
      </w:r>
    </w:p>
    <w:p>
      <w:r>
        <w:rPr>
          <w:b/>
        </w:rPr>
        <w:t>Nota del presentador:</w:t>
      </w:r>
    </w:p>
    <w:p>
      <w:r>
        <w:rPr>
          <w:i/>
        </w:rPr>
        <w:t>"Esta presentación no se basa en métricas elegidas por comodidad. Cada indicador ha sido derivado desde objetivos nacionales de ciberseguridad (GQM) y calificado con PRAGMATIC para garantizar que mide lo que dice medir."</w:t>
      </w:r>
    </w:p>
    <w:p>
      <w:pPr>
        <w:pStyle w:val="Heading2"/>
        <w:keepNext/>
        <w:keepLines/>
      </w:pPr>
      <w:r>
        <w:rPr>
          <w:color w:val="0066CC"/>
        </w:rPr>
        <w:t>DIAPOSITIVA 2 — EL PROBLEMA: MÉTRICAS QUE NO MIDEN</w:t>
      </w:r>
    </w:p>
    <w:p>
      <w:r>
        <w:rPr>
          <w:b/>
        </w:rPr>
        <w:t>Columna izquierda — Lo habitual:</w:t>
      </w:r>
    </w:p>
    <w:p>
      <w:r>
        <w:rPr>
          <w:i/>
        </w:rPr>
        <w:t>"47 métricas. Todas en verde. El CISO presenta. El CEO asiente. Y la organización lleva 254 días comprometida a través de un proveedor que aparecía como 'gestionado'."</w:t>
      </w:r>
    </w:p>
    <w:p>
      <w:r>
        <w:rPr>
          <w:b/>
        </w:rPr>
        <w:t>Columna derecha — Con GQM+PRAGMATIC:</w:t>
      </w:r>
    </w:p>
    <w:p>
      <w:r>
        <w:rPr>
          <w:i/>
        </w:rPr>
        <w:t>"20 indicadores seleccionados por trazabilidad (GQM) y verificados por calidad (PRAGMATIC). Solo métricas que anticipan, que accionan y que no mienten."</w:t>
      </w:r>
    </w:p>
    <w:p>
      <w:r>
        <w:rPr>
          <w:b/>
        </w:rPr>
        <w:t>Datos de impacto:</w:t>
      </w:r>
      <w:r/>
      <w:r>
        <w:br/>
        <w:t>- 22,5% de las brechas involucran a terceros/proveedores (ENISA NIS360 2025)</w:t>
      </w:r>
      <w:r/>
      <w:r>
        <w:br/>
        <w:t xml:space="preserve">- MTTD-SC medio: </w:t>
      </w:r>
      <w:r>
        <w:rPr>
          <w:b/>
        </w:rPr>
        <w:t>254 días</w:t>
      </w:r>
      <w:r>
        <w:t xml:space="preserve"> (Cipher/Prosegur 2026)</w:t>
      </w:r>
      <w:r/>
      <w:r>
        <w:br/>
        <w:t xml:space="preserve">- Coste medio por incidente CS: </w:t>
      </w:r>
      <w:r>
        <w:rPr>
          <w:b/>
        </w:rPr>
        <w:t>4,33 M€</w:t>
      </w:r>
      <w:r>
        <w:t xml:space="preserve"> (Cipher/Prosegur 2026)</w:t>
      </w:r>
    </w:p>
    <w:p>
      <w:pPr>
        <w:pStyle w:val="Heading2"/>
        <w:keepNext/>
        <w:keepLines/>
      </w:pPr>
      <w:r>
        <w:rPr>
          <w:color w:val="0066CC"/>
        </w:rPr>
        <w:t>DIAPOSITIVA 3 — LOS DOS PILARES DEL MARCO</w:t>
      </w:r>
    </w:p>
    <w:p>
      <w:r>
        <w:rPr>
          <w:b/>
        </w:rPr>
        <w:t>GQM:</w:t>
      </w:r>
      <w:r>
        <w:t xml:space="preserve"> OBJETIVO NACIONAL → Pregunta Operativa → Indicador</w:t>
      </w:r>
      <w:r/>
      <w:r>
        <w:br/>
        <w:t>Basili &amp; Rombach (1988) / SEI CMU. Garantiza trazabilidad estratégica.</w:t>
      </w:r>
    </w:p>
    <w:p>
      <w:r>
        <w:rPr>
          <w:b/>
        </w:rPr>
        <w:t>PRAGMATIC:</w:t>
      </w:r>
      <w:r>
        <w:t xml:space="preserve"> P-R-A-G-M-A-T-I-C</w:t>
      </w:r>
      <w:r/>
      <w:r>
        <w:br/>
        <w:t>Brotby &amp; Hinson (2013, CRC Press). Escala 0-81. Umbral alta calidad: ≥65.</w:t>
      </w:r>
    </w:p>
    <w:p>
      <w:pPr>
        <w:pStyle w:val="Heading2"/>
        <w:keepNext/>
        <w:keepLines/>
      </w:pPr>
      <w:r>
        <w:rPr>
          <w:color w:val="0066CC"/>
        </w:rPr>
        <w:t>DIAPOSITIVA 4 — LOS CUATRO OBJETIVOS GQM NACIONALES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Contexto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 clave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O1 — Reducir incidentes CSCRM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22,5% brechas de terceros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M01-M04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O2 — Madurez CSCRM ≥ L3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 España ~2,1 / objetivo 3,0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M05-M09, M17-M18, M20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SP 800-161r1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O3 — Visibilidad n-tier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80% sin evaluación subcontratistas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M10-M12, M19-M20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22 / CRA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O4 — Respuesta coordinada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~30% con PRI que incluye CS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M13-M16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NIS2 Art. 21.2.a, 23, 29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DIAPOSITIVA 5 — RESULTADOS PRAGMATIC</w:t>
      </w:r>
    </w:p>
    <w:p>
      <w:r>
        <w:rPr>
          <w:b/>
        </w:rPr>
        <w:t>Gráfico de barras horizontales</w:t>
      </w:r>
      <w:r>
        <w:t xml:space="preserve"> (de mayor a menor puntuación):</w:t>
      </w:r>
      <w:r/>
      <w:r>
        <w:br/>
        <w:t>- Verde: ≥65 pts (Alta calidad) · Naranja: 40-64 (Media) · Línea de referencia en 65</w:t>
      </w:r>
    </w:p>
    <w:p>
      <w:r>
        <w:rPr>
          <w:b/>
        </w:rPr>
        <w:t>Resumen:</w:t>
      </w:r>
      <w:r/>
      <w:r>
        <w:br/>
        <w:t xml:space="preserve">- </w:t>
      </w:r>
      <w:r>
        <w:rPr>
          <w:b/>
        </w:rPr>
        <w:t>13 de 20</w:t>
      </w:r>
      <w:r>
        <w:t xml:space="preserve"> indicadores alcanzan alta calidad PRAGMATIC</w:t>
      </w:r>
      <w:r/>
      <w:r>
        <w:br/>
        <w:t xml:space="preserve">- Fortaleza: </w:t>
      </w:r>
      <w:r>
        <w:rPr>
          <w:b/>
        </w:rPr>
        <w:t>Relevante</w:t>
      </w:r>
      <w:r>
        <w:t xml:space="preserve"> (9,0 media) — todos con anclaje normativo</w:t>
      </w:r>
      <w:r/>
      <w:r>
        <w:br/>
        <w:t xml:space="preserve">- Brecha: </w:t>
      </w:r>
      <w:r>
        <w:rPr>
          <w:b/>
        </w:rPr>
        <w:t>Independiente</w:t>
      </w:r>
      <w:r>
        <w:t xml:space="preserve"> (6,6 media) — plan: triangulación con auditorías externas</w:t>
      </w:r>
    </w:p>
    <w:p>
      <w:pPr>
        <w:pStyle w:val="Heading2"/>
        <w:keepNext/>
        <w:keepLines/>
      </w:pPr>
      <w:r>
        <w:rPr>
          <w:color w:val="0066CC"/>
        </w:rPr>
        <w:t>DIAPOSITIVA 6 — IGM GLOBAL Y POSICIÓN RELATIVA</w:t>
      </w:r>
    </w:p>
    <w:p>
      <w:r>
        <w:rPr>
          <w:b/>
        </w:rPr>
        <w:t>IGM Global:</w:t>
      </w:r>
      <w:r>
        <w:t xml:space="preserve"> [X,X] / 5,0 — [Nivel] — [semáforo]</w:t>
      </w:r>
    </w:p>
    <w:p>
      <w:r>
        <w:rPr>
          <w:b/>
        </w:rPr>
        <w:t>Tabla de subíndices:</w:t>
      </w:r>
      <w:r/>
      <w:r>
        <w:br/>
        <w:t>| Dominio | IGM org. | España estim. | UE media | Objetivo L3 |</w:t>
      </w:r>
      <w:r/>
      <w:r>
        <w:br/>
        <w:t>|---------|----------|-------------|----------|-------------|</w:t>
      </w:r>
      <w:r/>
      <w:r>
        <w:br/>
        <w:t>| Gobernanza | [x] | ~2,2 | ~3,1 | 3,0 |</w:t>
      </w:r>
      <w:r/>
      <w:r>
        <w:br/>
        <w:t>| Identificación | [x] | ~2,0 | ~2,8 | 3,0 |</w:t>
      </w:r>
      <w:r/>
      <w:r>
        <w:br/>
        <w:t>| Protección | [x] | ~1,8 | ~2,6 | 3,0 |</w:t>
      </w:r>
      <w:r/>
      <w:r>
        <w:br/>
        <w:t>| Detección | [x] | ~1,6 | ~2,4 | 3,0 |</w:t>
      </w:r>
      <w:r/>
      <w:r>
        <w:br/>
        <w:t>| Resiliencia | [x] | ~2,1 | ~2,9 | 3,0 |</w:t>
      </w:r>
    </w:p>
    <w:p>
      <w:pPr>
        <w:pStyle w:val="Heading2"/>
        <w:keepNext/>
        <w:keepLines/>
      </w:pPr>
      <w:r>
        <w:rPr>
          <w:color w:val="0066CC"/>
        </w:rPr>
        <w:t>DIAPOSITIVA 7 — CONJUNTO MÍNIMO VIABLE (CMV)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Actual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2028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M02 MTTD-SC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[X]d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&lt;90d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66 ✅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[semáforo]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M07 IGM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[X,X]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≥3,0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 ✅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M09 Brecha Dom.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[X,X]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≤1,0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 ✅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M11 SBOM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[X]%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≥50%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 ✅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M13 PRI con 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[X]%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 ✅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M14 Plazos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[X]%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 ✅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M18 Contratos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[X]%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≥80%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 ✅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M20 Ciclo Vida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[X,X]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≥3,5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78 ✅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</w:tr>
    </w:tbl>
    <w:p/>
    <w:p>
      <w:r>
        <w:rPr>
          <w:i/>
        </w:rPr>
        <w:t>"Si solo podemos medir 8 cosas, que sean estas. Cubren los 4 objetivos GQM nacionales."</w:t>
      </w:r>
    </w:p>
    <w:p>
      <w:pPr>
        <w:pStyle w:val="Heading2"/>
        <w:keepNext/>
        <w:keepLines/>
      </w:pPr>
      <w:r>
        <w:rPr>
          <w:color w:val="0066CC"/>
        </w:rPr>
        <w:t>DIAPOSITIVA 8 — EL INDICADOR MÁS PREOCUPANTE: MTTD-SC</w:t>
      </w:r>
    </w:p>
    <w:p>
      <w:r>
        <w:rPr>
          <w:b/>
        </w:rPr>
        <w:t>Valores grandes:</w:t>
      </w:r>
      <w:r/>
      <w:r>
        <w:br/>
        <w:t xml:space="preserve">- Nuestro MTTD-SC: </w:t>
      </w:r>
      <w:r>
        <w:rPr>
          <w:b/>
        </w:rPr>
        <w:t>[XXX] días</w:t>
      </w:r>
      <w:r>
        <w:t xml:space="preserve"> | Benchmark: 254 días | Objetivo 2028: &lt;90 días</w:t>
      </w:r>
    </w:p>
    <w:p>
      <w:r>
        <w:rPr>
          <w:i/>
        </w:rPr>
        <w:t>"Cada día de exceso es un día en que el atacante opera con total libertad. A 254 días, ya conoce nuestros sistemas mejor que muchos de nuestros propios empleados."</w:t>
      </w:r>
    </w:p>
    <w:p>
      <w:r>
        <w:rPr>
          <w:b/>
        </w:rPr>
        <w:t>Acción requerida:</w:t>
      </w:r>
      <w:r>
        <w:t xml:space="preserve"> Monitorización continua proveedores → Coste: [X] €/año → ROI estimado: [Y]%</w:t>
      </w:r>
    </w:p>
    <w:p>
      <w:pPr>
        <w:pStyle w:val="Heading2"/>
        <w:keepNext/>
        <w:keepLines/>
      </w:pPr>
      <w:r>
        <w:rPr>
          <w:color w:val="0066CC"/>
        </w:rPr>
        <w:t>DIAPOSITIVA 9 — INDICADORES EMERGENTES: SBOM, PQC,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actual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Q3-2026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SBOM (M11)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[X]%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CRA 2025-27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 ✅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Exigir en próximas 5 renovaciones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PQC (M12)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Nivel [X]/4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Roadmap CE 2026-35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63 ⚠️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Iniciar inventario criptográfico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IA/ML (M19)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[X]% eval.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Reg. IA UE 2024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63 ⚠️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Incluir cláusula AIBOM en 2026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DIAPOSITIVA 10 — EL MÁS FIABLE: CICLO DE VIDA DEL PROVEEDOR (M20, 78 pts)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SELECCIÓN → ONBOARDING → MONITORIZACIÓN → OFFBOARDING</w:t>
        <w:br/>
        <w:t>[L x/5]      [L x/5]       [L x/5]          [L x/5]</w:t>
        <w:br/>
      </w:r>
    </w:p>
    <w:p>
      <w:r>
        <w:t>Por qué es el indicador más fiable: predice accesos no revocados (Predictivo: 9), verificable por auditoría (Genuino: 9), difícilmente falsificable (Independiente: 6 — el más alto del grupo).</w:t>
      </w:r>
    </w:p>
    <w:p>
      <w:r>
        <w:rPr>
          <w:i/>
        </w:rPr>
        <w:t>"Pregunta al Consejo: ¿Cuántos proveedores con contratos vencidos tienen todavía acceso activo a nuestros sistemas? No es una pregunta retórica."</w:t>
      </w:r>
    </w:p>
    <w:p>
      <w:pPr>
        <w:pStyle w:val="Heading2"/>
        <w:keepNext/>
        <w:keepLines/>
      </w:pPr>
      <w:r>
        <w:rPr>
          <w:color w:val="0066CC"/>
        </w:rPr>
        <w:t>DIAPOSITIVA 11 — ANÁLISIS POR CRITERIO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9,0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Máxima fortaleza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8,7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Muy 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8,1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8,1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7,8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7,2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Buena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7,2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Buena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6,3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⚠️ Moderada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6,6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Brecha principal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DIAPOSITIVA 12 — COMPARATIVA INTERNACIONAL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España estim.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Media 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P75 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NIS2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IGM Global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~2,1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~2,6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~3,4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≥3,0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MTTD-SC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~254d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~220d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~90d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&lt;60d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CSCRM formal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~60%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~72%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~90%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≥90%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Due Diligence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~47%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≥75%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SBOM exigido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~15%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≥50% (CRA)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PRI con CS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~30%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~38%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~60%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≥70%</w:t>
            </w:r>
          </w:p>
        </w:tc>
      </w:tr>
    </w:tbl>
    <w:p/>
    <w:p>
      <w:r>
        <w:rPr>
          <w:i/>
        </w:rPr>
        <w:t>Fuentes: ENISA NIS360 2025 · ENISA NIS Investments 2025 · Cipher/Prosegur 2026</w:t>
      </w:r>
    </w:p>
    <w:p>
      <w:pPr>
        <w:pStyle w:val="Heading2"/>
        <w:keepNext/>
        <w:keepLines/>
      </w:pPr>
      <w:r>
        <w:rPr>
          <w:color w:val="0066CC"/>
        </w:rPr>
        <w:t>DIAPOSITIVA 13 — ROI POR INDICADOR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 estim.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Reducción ALE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ROI 3 años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M18 Cláusulas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~10.000 €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~300.000 €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~2.900%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M20 Ciclo Vida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~50.000 €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~800.000 €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~1.500%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M14 Plazos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~15.000 €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~200.000 €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~1.233%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M02 MTTD-SC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~120.000 €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~1.200.000 €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~900%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M11 SBOM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~60.000 €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~500.000 €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~727%</w:t>
            </w:r>
          </w:p>
        </w:tc>
      </w:tr>
    </w:tbl>
    <w:p/>
    <w:p>
      <w:r>
        <w:rPr>
          <w:i/>
        </w:rPr>
        <w:t>Basado en FAIR Institute 2025 + ALE con CMI-SC = 4,33 M€ (Cipher/Prosegur 2026)</w:t>
      </w:r>
    </w:p>
    <w:p>
      <w:pPr>
        <w:pStyle w:val="Heading2"/>
        <w:keepNext/>
        <w:keepLines/>
      </w:pPr>
      <w:r>
        <w:rPr>
          <w:color w:val="0066CC"/>
        </w:rPr>
        <w:t>DIAPOSITIVA 14 — PLAN DE ACCIÓN PRIORIZADO (18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Resp.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T1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T2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T3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T4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27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M20 Ciclo Vida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Formalizar offboarding + auditoría accesos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CISO+IT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ENS/NIS2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M18 Contratos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Actualizar plantilla + revisar top 20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Legal+CISO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NIS2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M14 Plazos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Entrenar PRI + simulacro 24h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CISO+NOC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NIS2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M09 Brecha Dom.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Gap analysis por dominio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CISO ext.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IMC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M02 MTTD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Monitorización continua proveedores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NOC+CISO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CSF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M11 SBOM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Exigir SBOM en renovaciones sw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Compras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CRA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M13 PRI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Actualizar PRI con módulo CS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ENS/NIS2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M07 IGM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Encuesta CSCRM completa (línea base)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CISO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██</w:t>
            </w:r>
          </w:p>
        </w:tc>
        <w:tc>
          <w:tcPr>
            <w:tcW w:type="dxa" w:w="936"/>
          </w:tcPr>
          <w:p>
            <w:pPr>
              <w:keepLines w:val="1"/>
            </w:pPr>
            <w:r/>
          </w:p>
        </w:tc>
        <w:tc>
          <w:tcPr>
            <w:tcW w:type="dxa" w:w="936"/>
          </w:tcPr>
          <w:p>
            <w:pPr>
              <w:keepLines w:val="1"/>
            </w:pPr>
            <w:r/>
          </w:p>
        </w:tc>
        <w:tc>
          <w:tcPr>
            <w:tcW w:type="dxa" w:w="936"/>
          </w:tcPr>
          <w:p>
            <w:pPr>
              <w:keepLines w:val="1"/>
            </w:pPr>
            <w:r/>
          </w:p>
        </w:tc>
        <w:tc>
          <w:tcPr>
            <w:tcW w:type="dxa" w:w="936"/>
          </w:tcPr>
          <w:p>
            <w:pPr>
              <w:keepLines w:val="1"/>
            </w:pPr>
            <w:r/>
          </w:p>
        </w:tc>
        <w:tc>
          <w:tcPr>
            <w:tcW w:type="dxa" w:w="936"/>
          </w:tcPr>
          <w:p>
            <w:pPr>
              <w:keepLines w:val="1"/>
            </w:pPr>
            <w:r>
              <w:t>IMC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DIAPOSITIVA 15 — LO QUE EL REGULADOR MIRARÁ PRIMERO</w:t>
      </w:r>
    </w:p>
    <w:p>
      <w:pPr>
        <w:pStyle w:val="ListNumber"/>
        <w:keepLines w:val="1"/>
        <w:keepNext w:val="1"/>
        <w:widowControl w:val="1"/>
      </w:pPr>
      <w:r>
        <w:t>M14 Plazos NIS2 — Verificable por CCN-CERT con timestamps. Sanción: hasta 10 M€.</w:t>
      </w:r>
    </w:p>
    <w:p>
      <w:pPr>
        <w:pStyle w:val="ListNumber"/>
        <w:keepLines w:val="1"/>
        <w:keepNext w:val="1"/>
        <w:widowControl w:val="1"/>
      </w:pPr>
      <w:r>
        <w:t>M05 Política Formal — Primera verificación documental en cualquier supervisión.</w:t>
      </w:r>
    </w:p>
    <w:p>
      <w:pPr>
        <w:pStyle w:val="ListNumber"/>
        <w:keepLines w:val="1"/>
        <w:keepNext w:val="1"/>
        <w:widowControl w:val="1"/>
      </w:pPr>
      <w:r>
        <w:t>M06 Inventario Proveedores — Exigido ENS op.ext.1 + NIS2 Art. 21.2.d. Verificable por auditoría.</w:t>
      </w:r>
    </w:p>
    <w:p>
      <w:pPr>
        <w:pStyle w:val="ListNumber"/>
        <w:keepLines w:val="1"/>
        <w:keepNext w:val="1"/>
        <w:widowControl w:val="1"/>
      </w:pPr>
      <w:r>
        <w:t>M13 PRI con CS — Comprobación estándar en ejercicios supervisados INCIBE/CCN-CERT.</w:t>
      </w:r>
    </w:p>
    <w:p>
      <w:pPr>
        <w:pStyle w:val="ListNumber"/>
        <w:keepLines w:val="1"/>
        <w:widowControl w:val="1"/>
      </w:pPr>
      <w:r>
        <w:t>M18 Cláusulas Contractuales — NIS2 Art. 21.4. Verificable en revisión de contratos.</w:t>
      </w:r>
    </w:p>
    <w:p>
      <w:pPr>
        <w:pStyle w:val="Heading2"/>
        <w:keepNext/>
        <w:keepLines/>
      </w:pPr>
      <w:r>
        <w:rPr>
          <w:color w:val="0066CC"/>
        </w:rPr>
        <w:t>DIAPOSITIVA 16 — DECISIONES REQUERIDAS AL CONSEJO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Urgencia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Propone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Aprobar presupuesto CSCRM 2026-2027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Alta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[importe]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Próximo 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Designar Responsable CSCRM / POC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Alta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 días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Autorizar auditoría de accesos 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Alta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[importe]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 días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Aprobar actualización plantilla contractual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🟠 Media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Legal+CISO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[importe]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 días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Autorizar gap analysis NIS2 con tercero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🟠 Media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[importe]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 días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Aprobar plan migración PQC (inventario cript.)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🟡 Media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CISO+CTO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[importe]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 meses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DIAPOSITIVA 17 — TRES PREGUNTAS PARA EL CONSEJO</w:t>
      </w:r>
    </w:p>
    <w:p>
      <w:pPr>
        <w:pStyle w:val="ListNumber"/>
        <w:keepLines w:val="1"/>
        <w:keepNext w:val="1"/>
        <w:widowControl w:val="1"/>
      </w:pPr>
      <w:r>
        <w:br/>
        <w:t>De los 20 indicadores CSCRM que este marco propone medir, ¿cuántos medíamos antes? ¿Por qué?</w:t>
        <w:br/>
      </w:r>
    </w:p>
    <w:p>
      <w:pPr>
        <w:pStyle w:val="ListNumber"/>
        <w:keepLines w:val="1"/>
        <w:keepNext w:val="1"/>
        <w:widowControl w:val="1"/>
      </w:pPr>
      <w:r>
        <w:br/>
        <w:t>El criterio PRAGMATIC más débil es la Independencia: la mayoría de nuestros datos son autodeclarados. ¿Estamos dispuestos a invertir en verificación externa de los indicadores más críticos?</w:t>
        <w:br/>
      </w:r>
    </w:p>
    <w:p>
      <w:pPr>
        <w:pStyle w:val="ListNumber"/>
        <w:keepLines w:val="1"/>
        <w:widowControl w:val="1"/>
      </w:pPr>
      <w:r>
        <w:br/>
        <w:t>El indicador M20 (78/81 PRAGMATIC) mide el ciclo de vida completo del proveedor, incluyendo el offboarding. ¿Sabemos hoy cuántos accesos activos de ex-proveedores tenemos?</w:t>
        <w:br/>
      </w:r>
    </w:p>
    <w:p>
      <w:r>
        <w:t>De los 20 indicadores CSCRM que este marco propone medir, ¿cuántos medíamos antes? ¿Por qué?</w:t>
      </w:r>
    </w:p>
    <w:p>
      <w:r>
        <w:t xml:space="preserve">El criterio PRAGMATIC más débil es la </w:t>
      </w:r>
      <w:r>
        <w:rPr>
          <w:b/>
        </w:rPr>
        <w:t>Independencia</w:t>
      </w:r>
      <w:r>
        <w:t>: la mayoría de nuestros datos son autodeclarados. ¿Estamos dispuestos a invertir en verificación externa de los indicadores más críticos?</w:t>
      </w:r>
    </w:p>
    <w:p>
      <w:r>
        <w:t xml:space="preserve">El indicador M20 (78/81 PRAGMATIC) mide el ciclo de vida completo del proveedor, incluyendo el offboarding. </w:t>
      </w:r>
      <w:r>
        <w:rPr>
          <w:b/>
        </w:rPr>
        <w:t>¿Sabemos hoy cuántos accesos activos de ex-proveedores tenemos?</w:t>
      </w:r>
    </w:p>
    <w:p>
      <w:r>
        <w:rPr>
          <w:i/>
        </w:rPr>
        <w:t>"En ciberseguridad, la diferencia entre una organización resiliente y una vulnerable no está en el número de controles implementados, sino en la calidad de los datos que usa para decidir cuáles implementar."</w:t>
      </w:r>
    </w:p>
    <w:p>
      <w:pPr>
        <w:pStyle w:val="Heading2"/>
        <w:keepNext/>
        <w:keepLines/>
      </w:pPr>
      <w:r>
        <w:rPr>
          <w:color w:val="0066CC"/>
        </w:rPr>
        <w:t>DIAPOSITIVA 18 — CONTRAPORTADA Y PRÓXIMOS PASOS</w:t>
      </w:r>
    </w:p>
    <w:p>
      <w:r>
        <w:rPr>
          <w:b/>
        </w:rPr>
        <w:t>Próximos pasos:</w:t>
      </w:r>
      <w:r/>
      <w:r>
        <w:br/>
        <w:t>- [ ] Completar la Plantilla Excel con valores actuales de los 20 indicadores</w:t>
      </w:r>
      <w:r/>
      <w:r>
        <w:br/>
        <w:t>- [ ] Revisar la puntuación PRAGMATIC con el equipo de ciberseguridad</w:t>
      </w:r>
      <w:r/>
      <w:r>
        <w:br/>
        <w:t>- [ ] Presentar al Comité de Auditoría el plan de mejora de indicadores con PRAGMATIC &lt; 65</w:t>
      </w:r>
      <w:r/>
      <w:r>
        <w:br/>
        <w:t>- [ ] Iniciar verificación independiente de los 3 indicadores más críticos</w:t>
      </w:r>
    </w:p>
    <w:p>
      <w:r>
        <w:rPr>
          <w:b/>
        </w:rPr>
        <w:t>Referencias:</w:t>
      </w:r>
      <w:r/>
      <w:r>
        <w:br/>
        <w:t>- Basili &amp; Rombach (1988) IEEE TSE 14(6)</w:t>
      </w:r>
      <w:r/>
      <w:r>
        <w:br/>
        <w:t>- Brotby &amp; Hinson (2013) PRAGMATIC Security Metrics, CRC Press</w:t>
      </w:r>
      <w:r/>
      <w:r>
        <w:br/>
        <w:t>- NIST SP 800-55v2 dic. 2024</w:t>
      </w:r>
      <w:r/>
      <w:r>
        <w:br/>
        <w:t>- INCIBE-CERT IMC v2.8</w:t>
      </w:r>
      <w:r/>
      <w:r>
        <w:br/>
        <w:t>- NIST SP 800-161r1 act. nov. 2024</w:t>
      </w:r>
    </w:p>
    <w:p>
      <w:r>
        <w:rPr>
          <w:i/>
        </w:rPr>
        <w:t>© 2026 · Plantilla Reporte Ejecutivo GQM+PRAGMATIC CSCRM España · Documento (f)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