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APT.</w:t>
      </w:r>
    </w:p>
    <w:p>
      <w:r>
        <w:rPr>
          <w:b/>
        </w:rPr>
        <w:t>Informe sobre indicadores y métricas de Amenaza Persistente Avanzada (APT) aplicados a nivel nacional territorial en España (2025‑2026) con enfoque comparativo mundial</w:t>
      </w:r>
    </w:p>
    <w:p>
      <w:pPr>
        <w:pStyle w:val="Heading2"/>
        <w:keepNext/>
        <w:keepLines/>
      </w:pPr>
      <w:r>
        <w:rPr>
          <w:color w:val="0066CC"/>
        </w:rPr>
        <w:t>1. Marco conceptual y metodología</w:t>
      </w:r>
    </w:p>
    <w:p>
      <w:r>
        <w:t>La Amenaza Persistente Avanzada (APT) se define como un actor —usually backed by a state or equivalent structure— que lleva a cabo campañas de larga duración, sigilo y alta sophistication para alcanzar objetivos estratégicos mediante el compromiso continuado de sistemas y la exfiltración de información crítica. Para elaborar este informe se han consultado exclusivamente fuentes de autoridad reconocida: agencias europeas de ciberseguridad (ENISA), organismos oficiales españoles (INCIBE, Ministerio de Defensa, CNI), informes de fabricantes y investigadores de primer nivel (Kaspersky, Trellix, ESET, NSFOCUS, Fortinet), actualizaciones del marco MITRE ATT\&amp;CK y estudios de consul­torías especializadas (AON, Helas Consultores). Se han descartado blogs personales, foros no verificados y contenidos meramente promocionales.</w:t>
      </w:r>
      <w:r/>
      <w:r>
        <w:rPr/>
        <w:footnoteReference w:id="1"/>
      </w:r>
      <w:r/>
      <w:r>
        <w:rPr/>
        <w:footnoteReference w:id="2"/>
      </w:r>
      <w:r/>
      <w:r>
        <w:rPr/>
        <w:footnoteReference w:id="3"/>
      </w:r>
      <w:r/>
      <w:r>
        <w:rPr/>
        <w:footnoteReference w:id="4"/>
      </w:r>
      <w:r/>
      <w:r>
        <w:rPr/>
        <w:footnoteReference w:id="5"/>
      </w:r>
      <w:r/>
      <w:r>
        <w:rPr/>
        <w:footnoteReference w:id="6"/>
      </w:r>
      <w:r/>
      <w:r>
        <w:rPr/>
        <w:footnoteReference w:id="7"/>
      </w:r>
      <w:r/>
      <w:r>
        <w:rPr/>
        <w:footnoteReference w:id="8"/>
      </w:r>
      <w:r/>
      <w:r>
        <w:rPr/>
        <w:footnoteReference w:id="9"/>
      </w:r>
    </w:p>
    <w:p>
      <w:pPr>
        <w:pStyle w:val="Heading2"/>
        <w:keepNext/>
        <w:keepLines/>
      </w:pPr>
      <w:r>
        <w:rPr>
          <w:color w:val="0066CC"/>
        </w:rPr>
        <w:t>2. Indicadores y métricas APT a nivel global (2025)</w:t>
      </w:r>
    </w:p>
    <w:p>
      <w:r>
        <w:t>Los principales marcos y coincidencias identificados en la literatura de alto nivel son:</w:t>
      </w:r>
    </w:p>
    <w:p>
      <w:pPr>
        <w:pStyle w:val="ListBullet"/>
        <w:keepLines w:val="1"/>
        <w:keepNext w:val="1"/>
        <w:widowControl w:val="1"/>
      </w:pPr>
      <w:r>
        <w:t>Vector inicial dominante: el phishing (incluyendo variantes como vishing, smishing y quishing) sigue representando alrededor del 60 % de los intentos de intrusión inicial, con una creciente industrialización mediante Phishing‑as‑a‑Service (PhaaS) que permite a actores de bajo nivel lanzar campañas complejas.78</w:t>
      </w:r>
    </w:p>
    <w:p>
      <w:pPr>
        <w:pStyle w:val="ListBullet"/>
        <w:keepLines w:val="1"/>
        <w:keepNext w:val="1"/>
        <w:widowControl w:val="1"/>
      </w:pPr>
      <w:r>
        <w:t>Explotación de vulnerabilidades: constituye el 21,3 % de los vectores de acceso, con una tendencia a la weaponización en menos de 24 h tras la divulgación pública, lo que evidencia la necesidad de parcheo rápido y higiene básica.7</w:t>
      </w:r>
    </w:p>
    <w:p>
      <w:pPr>
        <w:pStyle w:val="ListBullet"/>
        <w:keepLines w:val="1"/>
        <w:keepNext w:val="1"/>
        <w:widowControl w:val="1"/>
      </w:pPr>
      <w:r>
        <w:t>Distribución de tipos de incidente: los ataques DDoS (impulsados mayormente por hacktivismo) representan aproximadamente el 76,7 % de los eventos registrados, mientras que las intrusiones propiamente dichas suponen el 17,8 %, de las cuales el 87,3 % involucran ransomware, troyanos bancarios o infostealers.7</w:t>
      </w:r>
    </w:p>
    <w:p>
      <w:pPr>
        <w:pStyle w:val="ListBullet"/>
        <w:keepLines w:val="1"/>
        <w:keepNext w:val="1"/>
        <w:widowControl w:val="1"/>
      </w:pPr>
      <w:r>
        <w:t>Uso de inteligencia artificial (IA): a principios de 2025, más del 80 % de los correos de phishing analizados mostraban algún grado de asistencia de IA (LLMs jailbreaked, deepfakes, generación de contenido sintético) para aumentar la credibilidad y evadir filtros.7</w:t>
      </w:r>
    </w:p>
    <w:p>
      <w:pPr>
        <w:pStyle w:val="ListBullet"/>
        <w:keepLines w:val="1"/>
        <w:keepNext w:val="1"/>
        <w:widowControl w:val="1"/>
      </w:pPr>
      <w:r>
        <w:t>Técnicas y procedimientos (TTPs) estandarizados: el descubrimiento de información del sistema (System Information Discovery, 13,4 %) y la transferencia de herramientas de ingreso (Ingress Tool Transfer, 13 %) permanecen como las técnicas MITRE más observadas, indicando procedimientos operativos maduros y compartidos entre distintos grupos APT.810</w:t>
      </w:r>
    </w:p>
    <w:p>
      <w:pPr>
        <w:pStyle w:val="ListBullet"/>
        <w:keepLines w:val="1"/>
        <w:keepNext w:val="1"/>
        <w:widowControl w:val="1"/>
      </w:pPr>
      <w:r>
        <w:t>Objetivos de campaña: alrededor del 7,2 % de las actividades se clasifican como ciberespionaje, mientras que las operaciones motivadas por ideología (hacktivismo) y por lucro (cibercrimen) siguen dominando el panorama.7</w:t>
      </w:r>
    </w:p>
    <w:p>
      <w:pPr>
        <w:pStyle w:val="ListBullet"/>
        <w:keepLines w:val="1"/>
        <w:keepNext w:val="1"/>
        <w:widowControl w:val="1"/>
      </w:pPr>
      <w:r>
        <w:t>Sectorialidad: las telecomunicaciones son el blanco más frecuente (70,8 % de las detecciones APT en el informe Trellix), seguidas de tecnología (9,9 %) y manufactura, lo que refleja un interés estratégico en la infraestructura de comunicaciones para inteligencia y acceso persistente.8</w:t>
      </w:r>
    </w:p>
    <w:p>
      <w:pPr>
        <w:pStyle w:val="ListBullet"/>
        <w:keepLines w:val="1"/>
        <w:widowControl w:val="1"/>
      </w:pPr>
      <w:r>
        <w:t>Geografía de los actores: los grupos con vínculos a Rusia, Corea del Norte y China siguen siendo los más activos en campañas de cyberespionaje contra Europa, con un notable aumento en el uso de cadenas de suministro de software (paquetes npm maliciosos, extensiones de navegador comprometidas).97</w:t>
      </w:r>
    </w:p>
    <w:p>
      <w:r>
        <w:t xml:space="preserve">Estos indicadores forman la base de los </w:t>
      </w:r>
      <w:r>
        <w:rPr>
          <w:b/>
        </w:rPr>
        <w:t>métricas de efectividad</w:t>
      </w:r>
      <w:r>
        <w:t xml:space="preserve"> que los CISOs y equipos de respuesta deben monitorizar: tiempo medio de detección (MTTD), tiempo medio de respuesta (MTTR), porcentaje de incidentes vinculados a phishing, número de vulnerabilidades críticas parcheadas dentro de la ventana de exposición, frecuencia de detección de TTPs MITRE asociadas a APT, y proporción de tráfico malicioso proveniente de sectores críticos (telecomunicaciones, energía, finanzas).</w:t>
      </w:r>
      <w:r/>
      <w:r>
        <w:rPr/>
        <w:footnoteReference w:id="11"/>
      </w:r>
    </w:p>
    <w:p>
      <w:pPr>
        <w:pStyle w:val="Heading2"/>
        <w:keepNext/>
        <w:keepLines/>
      </w:pPr>
      <w:r>
        <w:rPr>
          <w:color w:val="0066CC"/>
        </w:rPr>
        <w:t>3. Aplicación a España: datos nacionales y tendencias observadas</w:t>
      </w:r>
    </w:p>
    <w:p>
      <w:pPr>
        <w:pStyle w:val="Heading3"/>
        <w:keepNext/>
        <w:keepLines/>
      </w:pPr>
      <w:r>
        <w:t>3.1 Volumen y naturaleza de los incidentes</w:t>
      </w:r>
    </w:p>
    <w:p>
      <w:r>
        <w:t xml:space="preserve">Según el Instituto Nacional de Ciberseguridad (INCIBE), en </w:t>
      </w:r>
      <w:r>
        <w:rPr>
          <w:b/>
        </w:rPr>
        <w:t>2025 se gestionaron 122 223 incidentes de ciberseguridad</w:t>
      </w:r>
      <w:r>
        <w:t xml:space="preserve">, lo que supone un incremento del </w:t>
      </w:r>
      <w:r>
        <w:rPr>
          <w:b/>
        </w:rPr>
        <w:t>26 %</w:t>
      </w:r>
      <w:r>
        <w:t xml:space="preserve"> respecto a 2024. El desglose revela:</w:t>
      </w:r>
      <w:r/>
      <w:r>
        <w:rPr/>
        <w:footnoteReference w:id="4"/>
      </w:r>
      <w:r/>
      <w:r>
        <w:rPr/>
        <w:footnoteReference w:id="12"/>
      </w:r>
    </w:p>
    <w:p>
      <w:pPr>
        <w:pStyle w:val="ListBullet"/>
        <w:keepLines w:val="1"/>
        <w:keepNext w:val="1"/>
        <w:widowControl w:val="1"/>
      </w:pPr>
      <w:r>
        <w:t>Malware: 55 411 casos</w:t>
      </w:r>
    </w:p>
    <w:p>
      <w:pPr>
        <w:pStyle w:val="ListBullet"/>
        <w:keepLines w:val="1"/>
        <w:keepNext w:val="1"/>
        <w:widowControl w:val="1"/>
      </w:pPr>
      <w:r>
        <w:t>Ransomware: 392 casos</w:t>
      </w:r>
    </w:p>
    <w:p>
      <w:pPr>
        <w:pStyle w:val="ListBullet"/>
        <w:keepLines w:val="1"/>
        <w:keepNext w:val="1"/>
        <w:widowControl w:val="1"/>
      </w:pPr>
      <w:r>
        <w:t>Fraude: 45 445 casos (incremento del 19 %)</w:t>
      </w:r>
    </w:p>
    <w:p>
      <w:pPr>
        <w:pStyle w:val="ListBullet"/>
        <w:keepLines w:val="1"/>
        <w:widowControl w:val="1"/>
      </w:pPr>
      <w:r>
        <w:t>Phishing: 25 133 reportes</w:t>
      </w:r>
    </w:p>
    <w:p>
      <w:r>
        <w:t xml:space="preserve">Además, se identificaron </w:t>
      </w:r>
      <w:r>
        <w:rPr>
          <w:b/>
        </w:rPr>
        <w:t>237 028 sistemas vulnerables</w:t>
      </w:r>
      <w:r>
        <w:t xml:space="preserve"> en todo el territorio, muchos de los cuales forman parte de botnets asociadas a dispositivos IoT (el </w:t>
      </w:r>
      <w:r>
        <w:rPr>
          <w:b/>
        </w:rPr>
        <w:t>85 %</w:t>
      </w:r>
      <w:r>
        <w:t xml:space="preserve"> de los sistemas infectados pertenecía a telles botnets).</w:t>
      </w:r>
      <w:r/>
      <w:r>
        <w:rPr/>
        <w:footnoteReference w:id="6"/>
      </w:r>
    </w:p>
    <w:p>
      <w:pPr>
        <w:pStyle w:val="Heading3"/>
        <w:keepNext/>
        <w:keepLines/>
      </w:pPr>
      <w:r>
        <w:t>3.2 Marco estratégico y regulatorio</w:t>
      </w:r>
    </w:p>
    <w:p>
      <w:r>
        <w:t>El Gobierno de España aprobó en enero de 2025 el Anteproyecto de Ley de Coordinación y Gobernanza de la Ciberseguridad, cuya finalidad es transponer la Directiva NIS2 y reforzar la protección de infraestructuras críticas. Simultáneamente, el Consejo de Ministers de mayo de 2025 aprobó un paquete de acciones que incluye:</w:t>
      </w:r>
      <w:r/>
      <w:r>
        <w:rPr/>
        <w:footnoteReference w:id="5"/>
      </w:r>
    </w:p>
    <w:p>
      <w:pPr>
        <w:pStyle w:val="ListBullet"/>
        <w:keepLines w:val="1"/>
        <w:keepNext w:val="1"/>
        <w:widowControl w:val="1"/>
      </w:pPr>
      <w:r>
        <w:t>Integración de técnicas avanzadas de IA para detección de ataques</w:t>
      </w:r>
    </w:p>
    <w:p>
      <w:pPr>
        <w:pStyle w:val="ListBullet"/>
        <w:keepLines w:val="1"/>
        <w:keepNext w:val="1"/>
        <w:widowControl w:val="1"/>
      </w:pPr>
      <w:r>
        <w:t>Mejora de la coordinación entre Centros de Operaciones de Seguridad (SOC) públicos y privados</w:t>
      </w:r>
    </w:p>
    <w:p>
      <w:pPr>
        <w:pStyle w:val="ListBullet"/>
        <w:keepLines w:val="1"/>
        <w:keepNext w:val="1"/>
        <w:widowControl w:val="1"/>
      </w:pPr>
      <w:r>
        <w:t>Fortalecimiento del sistema de alertas tempranas en ciberdefensa</w:t>
      </w:r>
    </w:p>
    <w:p>
      <w:pPr>
        <w:pStyle w:val="ListBullet"/>
        <w:keepLines w:val="1"/>
        <w:widowControl w:val="1"/>
      </w:pPr>
      <w:r>
        <w:t>Promoción de la colaboración con universidades para investigación en ciberseguridad.13</w:t>
      </w:r>
    </w:p>
    <w:p>
      <w:r>
        <w:t>Estas medidas se alinean con la Estrategia de Seguridad Nacional 2021, que identifica entre sus riesgos a las amenazas tecnológicas y al uso malicioso de la IA como factores de aumento de vulnerabilidad.</w:t>
      </w:r>
      <w:r/>
      <w:r>
        <w:rPr/>
        <w:footnoteReference w:id="5"/>
      </w:r>
    </w:p>
    <w:p>
      <w:pPr>
        <w:pStyle w:val="Heading3"/>
        <w:keepNext/>
        <w:keepLines/>
      </w:pPr>
      <w:r>
        <w:t>3.3 Sectores más afectados y vectores específicos</w:t>
      </w:r>
    </w:p>
    <w:p>
      <w:r>
        <w:t>Los informes sectoriales coinciden en que:</w:t>
      </w:r>
    </w:p>
    <w:p>
      <w:pPr>
        <w:pStyle w:val="ListBullet"/>
        <w:keepLines w:val="1"/>
        <w:keepNext w:val="1"/>
        <w:widowControl w:val="1"/>
      </w:pPr>
      <w:r>
        <w:t>Energía y sanidad fueron los que más incrementaron su exposición a operaciones maliciosas en el primer semestre de 2025, según el Threat Landscape Report de Thales.3</w:t>
      </w:r>
    </w:p>
    <w:p>
      <w:pPr>
        <w:pStyle w:val="ListBullet"/>
        <w:keepLines w:val="1"/>
        <w:keepNext w:val="1"/>
        <w:widowControl w:val="1"/>
      </w:pPr>
      <w:r>
        <w:t>El ransomware aumentó un 61 % en España durante la primera mitad de 2025, impulsado por grupos como LockBit y variantes locales.3</w:t>
      </w:r>
    </w:p>
    <w:p>
      <w:pPr>
        <w:pStyle w:val="ListBullet"/>
        <w:keepLines w:val="1"/>
        <w:keepNext w:val="1"/>
        <w:widowControl w:val="1"/>
      </w:pPr>
      <w:r>
        <w:t>Los ataques a la cadena de suministro digital (proveedores de servicios TI, repositorios de código, extensiones de navegador) se intensificaron, con ejemplos como el compromiso de proveedores de la energética Repsol y de plataformas de transporte público.147</w:t>
      </w:r>
    </w:p>
    <w:p>
      <w:pPr>
        <w:pStyle w:val="ListBullet"/>
        <w:keepLines w:val="1"/>
        <w:widowControl w:val="1"/>
      </w:pPr>
      <w:r>
        <w:t>La ciberespionaje estatal dirigida a entidades españolas fue atribuida a grupos como Mustang Panda (vinculado a China) y a conjuntos de intrusión con nexo ruso, los cuales han utilizado técnicas de phishing temático judicial (por ejemplo, archivos SVG con nombres como “Demanda por daños y perjuicios – Juzgado 49”) para engañar a usuarios en España y Latinoamérica.1516</w:t>
      </w:r>
    </w:p>
    <w:p>
      <w:pPr>
        <w:pStyle w:val="Heading3"/>
        <w:keepNext/>
        <w:keepLines/>
      </w:pPr>
      <w:r>
        <w:t>3.4 Métricas de madurez y detección</w:t>
      </w:r>
    </w:p>
    <w:p>
      <w:r>
        <w:t xml:space="preserve">El informe Trellix sobre actividades APT entre abril y septiembre de 2025 muestra que, a escala global, hubo un </w:t>
      </w:r>
      <w:r>
        <w:rPr>
          <w:b/>
        </w:rPr>
        <w:t>descenso del 29,5 %</w:t>
      </w:r>
      <w:r>
        <w:t xml:space="preserve"> en la actividad desde el pico de abril hasta agosto, lo que sugiere posible estacionalidad o efectividad de medidas de contención. En España, sin embargo, la tendencia general sigue al alza, lo que indica una posible brecha en la capacidad de detección y respuesta respecto a la media europea.</w:t>
      </w:r>
      <w:r/>
      <w:r>
        <w:rPr/>
        <w:footnoteReference w:id="8"/>
      </w:r>
    </w:p>
    <w:p>
      <w:r>
        <w:t xml:space="preserve">Un indicador de madurez frecuentemente usado por organizaciones españolas es el </w:t>
      </w:r>
      <w:r>
        <w:rPr>
          <w:b/>
        </w:rPr>
        <w:t>Mean Time to Detect (MTTD)</w:t>
      </w:r>
      <w:r>
        <w:t xml:space="preserve"> y el </w:t>
      </w:r>
      <w:r>
        <w:rPr>
          <w:b/>
        </w:rPr>
        <w:t>Mean Time to Respond (MTTR)</w:t>
      </w:r>
      <w:r>
        <w:t>. Las empresas que han adoptado marcos como MITRE ATT\&amp;CK para la creación de planes de detección y respuesta reportan una reducción del MTTD de entre un 30 % y un 50 % tras la implementación de reglas basadas en TTPs de APT.</w:t>
      </w:r>
      <w:r/>
      <w:r>
        <w:rPr/>
        <w:footnoteReference w:id="11"/>
      </w:r>
    </w:p>
    <w:p>
      <w:pPr>
        <w:pStyle w:val="Heading2"/>
        <w:keepNext/>
        <w:keepLines/>
      </w:pPr>
      <w:r>
        <w:rPr>
          <w:color w:val="0066CC"/>
        </w:rPr>
        <w:t>4. Análisis comparativo: España frente a la UE y el mundo</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Dimensión</w:t>
            </w:r>
          </w:p>
        </w:tc>
        <w:tc>
          <w:tcPr>
            <w:tcW w:type="dxa" w:w="2340"/>
            <w:shd w:fill="0033CC"/>
          </w:tcPr>
          <w:p>
            <w:pPr>
              <w:keepLines w:val="1"/>
              <w:keepNext w:val="1"/>
            </w:pPr>
            <w:r>
              <w:rPr>
                <w:b/>
                <w:color w:val="FFFFFF"/>
              </w:rPr>
              <w:t>España (2025)</w:t>
            </w:r>
          </w:p>
        </w:tc>
        <w:tc>
          <w:tcPr>
            <w:tcW w:type="dxa" w:w="2340"/>
            <w:shd w:fill="0033CC"/>
          </w:tcPr>
          <w:p>
            <w:pPr>
              <w:keepLines w:val="1"/>
              <w:keepNext w:val="1"/>
            </w:pPr>
            <w:r>
              <w:rPr>
                <w:b/>
                <w:color w:val="FFFFFF"/>
              </w:rPr>
              <w:t>UE (ENISA 2025)</w:t>
            </w:r>
          </w:p>
        </w:tc>
        <w:tc>
          <w:tcPr>
            <w:tcW w:type="dxa" w:w="2340"/>
            <w:shd w:fill="0033CC"/>
          </w:tcPr>
          <w:p>
            <w:pPr>
              <w:keepLines w:val="1"/>
              <w:keepNext w:val="1"/>
            </w:pPr>
            <w:r>
              <w:rPr>
                <w:b/>
                <w:color w:val="FFFFFF"/>
              </w:rPr>
              <w:t>Comentario</w:t>
            </w:r>
          </w:p>
        </w:tc>
      </w:tr>
      <w:tr>
        <w:trPr>
          <w:cantSplit w:val="1"/>
        </w:trPr>
        <w:tc>
          <w:tcPr>
            <w:tcW w:type="dxa" w:w="2340"/>
          </w:tcPr>
          <w:p>
            <w:pPr>
              <w:keepLines w:val="1"/>
              <w:keepNext w:val="1"/>
            </w:pPr>
            <w:r>
              <w:t>Incremento anual de incidentes</w:t>
            </w:r>
          </w:p>
        </w:tc>
        <w:tc>
          <w:tcPr>
            <w:tcW w:type="dxa" w:w="2340"/>
          </w:tcPr>
          <w:p>
            <w:pPr>
              <w:keepLines w:val="1"/>
              <w:keepNext w:val="1"/>
            </w:pPr>
            <w:r>
              <w:t>+26 % (INCIBE)</w:t>
            </w:r>
          </w:p>
        </w:tc>
        <w:tc>
          <w:tcPr>
            <w:tcW w:type="dxa" w:w="2340"/>
          </w:tcPr>
          <w:p>
            <w:pPr>
              <w:keepLines w:val="1"/>
              <w:keepNext w:val="1"/>
            </w:pPr>
            <w:r>
              <w:t>+15 % (estimado ENISA)</w:t>
            </w:r>
          </w:p>
        </w:tc>
        <w:tc>
          <w:tcPr>
            <w:tcW w:type="dxa" w:w="2340"/>
          </w:tcPr>
          <w:p>
            <w:pPr>
              <w:keepLines w:val="1"/>
              <w:keepNext w:val="1"/>
            </w:pPr>
            <w:r>
              <w:t>España experimenta un crecimiento superior al promedio europeo.</w:t>
            </w:r>
          </w:p>
        </w:tc>
      </w:tr>
      <w:tr>
        <w:trPr>
          <w:cantSplit w:val="1"/>
        </w:trPr>
        <w:tc>
          <w:tcPr>
            <w:tcW w:type="dxa" w:w="2340"/>
          </w:tcPr>
          <w:p>
            <w:pPr>
              <w:keepLines w:val="1"/>
              <w:keepNext w:val="1"/>
            </w:pPr>
            <w:r>
              <w:t>Phishing como vector inicial</w:t>
            </w:r>
          </w:p>
        </w:tc>
        <w:tc>
          <w:tcPr>
            <w:tcW w:type="dxa" w:w="2340"/>
          </w:tcPr>
          <w:p>
            <w:pPr>
              <w:keepLines w:val="1"/>
              <w:keepNext w:val="1"/>
            </w:pPr>
            <w:r>
              <w:t>~20 % de los incidentes totales (25 133/122 223)</w:t>
            </w:r>
          </w:p>
        </w:tc>
        <w:tc>
          <w:tcPr>
            <w:tcW w:type="dxa" w:w="2340"/>
          </w:tcPr>
          <w:p>
            <w:pPr>
              <w:keepLines w:val="1"/>
              <w:keepNext w:val="1"/>
            </w:pPr>
            <w:r>
              <w:t>~60 % de los intentos de intrusión (ENISA)</w:t>
            </w:r>
          </w:p>
        </w:tc>
        <w:tc>
          <w:tcPr>
            <w:tcW w:type="dxa" w:w="2340"/>
          </w:tcPr>
          <w:p>
            <w:pPr>
              <w:keepLines w:val="1"/>
              <w:keepNext w:val="1"/>
            </w:pPr>
            <w:r>
              <w:t>La proporción absoluta es menor debido al alto volumen de fraude y malware, pero el phishing sigue siendo la principal puerta de entrada en intrusiones confirmadas.</w:t>
            </w:r>
          </w:p>
        </w:tc>
      </w:tr>
      <w:tr>
        <w:trPr>
          <w:cantSplit w:val="1"/>
        </w:trPr>
        <w:tc>
          <w:tcPr>
            <w:tcW w:type="dxa" w:w="2340"/>
          </w:tcPr>
          <w:p>
            <w:pPr>
              <w:keepLines w:val="1"/>
              <w:keepNext w:val="1"/>
            </w:pPr>
            <w:r>
              <w:t>Ransomware detectado</w:t>
            </w:r>
          </w:p>
        </w:tc>
        <w:tc>
          <w:tcPr>
            <w:tcW w:type="dxa" w:w="2340"/>
          </w:tcPr>
          <w:p>
            <w:pPr>
              <w:keepLines w:val="1"/>
              <w:keepNext w:val="1"/>
            </w:pPr>
            <w:r>
              <w:t>392 casos (INCIBE)</w:t>
            </w:r>
          </w:p>
        </w:tc>
        <w:tc>
          <w:tcPr>
            <w:tcW w:type="dxa" w:w="2340"/>
          </w:tcPr>
          <w:p>
            <w:pPr>
              <w:keepLines w:val="1"/>
              <w:keepNext w:val="1"/>
            </w:pPr>
            <w:r>
              <w:t>No se ofrece cifra absoluta UE; ENISA señala ransomware como “núcleo” del panorama de intrusiones</w:t>
            </w:r>
          </w:p>
        </w:tc>
        <w:tc>
          <w:tcPr>
            <w:tcW w:type="dxa" w:w="2340"/>
          </w:tcPr>
          <w:p>
            <w:pPr>
              <w:keepLines w:val="1"/>
              <w:keepNext w:val="1"/>
            </w:pPr>
            <w:r>
              <w:t>El número absoluto es bajo, pero el aumento interanual del 61 % (Thales) indica una tendencia preocupante.</w:t>
            </w:r>
          </w:p>
        </w:tc>
      </w:tr>
      <w:tr>
        <w:trPr>
          <w:cantSplit w:val="1"/>
        </w:trPr>
        <w:tc>
          <w:tcPr>
            <w:tcW w:type="dxa" w:w="2340"/>
          </w:tcPr>
          <w:p>
            <w:pPr>
              <w:keepLines w:val="1"/>
              <w:keepNext w:val="1"/>
            </w:pPr>
            <w:r>
              <w:t>Sistemas vulnerables identificados</w:t>
            </w:r>
          </w:p>
        </w:tc>
        <w:tc>
          <w:tcPr>
            <w:tcW w:type="dxa" w:w="2340"/>
          </w:tcPr>
          <w:p>
            <w:pPr>
              <w:keepLines w:val="1"/>
              <w:keepNext w:val="1"/>
            </w:pPr>
            <w:r>
              <w:t>237 028</w:t>
            </w:r>
          </w:p>
        </w:tc>
        <w:tc>
          <w:tcPr>
            <w:tcW w:type="dxa" w:w="2340"/>
          </w:tcPr>
          <w:p>
            <w:pPr>
              <w:keepLines w:val="1"/>
              <w:keepNext w:val="1"/>
            </w:pPr>
            <w:r>
              <w:t>No disponible a nivel UE; ENISA destaca la explotación rápida de vulnerabilidades (21,3 % de vectores)</w:t>
            </w:r>
          </w:p>
        </w:tc>
        <w:tc>
          <w:tcPr>
            <w:tcW w:type="dxa" w:w="2340"/>
          </w:tcPr>
          <w:p>
            <w:pPr>
              <w:keepLines w:val="1"/>
              <w:keepNext w:val="1"/>
            </w:pPr>
            <w:r>
              <w:t>El elevado número refleja una superficie de ataque amplia, particularmente en IoT y sistemas legado.</w:t>
            </w:r>
          </w:p>
        </w:tc>
      </w:tr>
      <w:tr>
        <w:trPr>
          <w:cantSplit w:val="1"/>
        </w:trPr>
        <w:tc>
          <w:tcPr>
            <w:tcW w:type="dxa" w:w="2340"/>
          </w:tcPr>
          <w:p>
            <w:pPr>
              <w:keepLines w:val="1"/>
              <w:keepNext w:val="1"/>
            </w:pPr>
            <w:r>
              <w:t>Participación de telecomunicaciones en objetivos APT</w:t>
            </w:r>
          </w:p>
        </w:tc>
        <w:tc>
          <w:tcPr>
            <w:tcW w:type="dxa" w:w="2340"/>
          </w:tcPr>
          <w:p>
            <w:pPr>
              <w:keepLines w:val="1"/>
              <w:keepNext w:val="1"/>
            </w:pPr>
            <w:r>
              <w:t>No desglosado nacionalmente; Trellix muestra 70,8 % global</w:t>
            </w:r>
          </w:p>
        </w:tc>
        <w:tc>
          <w:tcPr>
            <w:tcW w:type="dxa" w:w="2340"/>
          </w:tcPr>
          <w:p>
            <w:pPr>
              <w:keepLines w:val="1"/>
              <w:keepNext w:val="1"/>
            </w:pPr>
            <w:r>
              <w:t>70,8 % (Trellix, global)</w:t>
            </w:r>
          </w:p>
        </w:tc>
        <w:tc>
          <w:tcPr>
            <w:tcW w:type="dxa" w:w="2340"/>
          </w:tcPr>
          <w:p>
            <w:pPr>
              <w:keepLines w:val="1"/>
              <w:keepNext w:val="1"/>
            </w:pPr>
            <w:r>
              <w:t>Se presume que España sigue el patrón global dado su importancia como hub de conectividad en Europa occidental.</w:t>
            </w:r>
          </w:p>
        </w:tc>
      </w:tr>
      <w:tr>
        <w:trPr>
          <w:cantSplit w:val="1"/>
        </w:trPr>
        <w:tc>
          <w:tcPr>
            <w:tcW w:type="dxa" w:w="2340"/>
          </w:tcPr>
          <w:p>
            <w:pPr>
              <w:keepLines w:val="1"/>
            </w:pPr>
            <w:r>
              <w:t>Uso de IA en phishing</w:t>
            </w:r>
          </w:p>
        </w:tc>
        <w:tc>
          <w:tcPr>
            <w:tcW w:type="dxa" w:w="2340"/>
          </w:tcPr>
          <w:p>
            <w:pPr>
              <w:keepLines w:val="1"/>
            </w:pPr>
            <w:r>
              <w:t>No datos específicos españoles; ENISA reporta &gt;80 % global</w:t>
            </w:r>
          </w:p>
        </w:tc>
        <w:tc>
          <w:tcPr>
            <w:tcW w:type="dxa" w:w="2340"/>
          </w:tcPr>
          <w:p>
            <w:pPr>
              <w:keepLines w:val="1"/>
            </w:pPr>
            <w:r>
              <w:t>&gt;80 % (ENISA)</w:t>
            </w:r>
          </w:p>
        </w:tc>
        <w:tc>
          <w:tcPr>
            <w:tcW w:type="dxa" w:w="2340"/>
          </w:tcPr>
          <w:p>
            <w:pPr>
              <w:keepLines w:val="1"/>
            </w:pPr>
            <w:r>
              <w:t>Probablemente replicado en España dada la disponibilidad de herramientas y la presencia de grupos estatales con capacidad tecnológica.</w:t>
            </w:r>
          </w:p>
        </w:tc>
      </w:tr>
    </w:tbl>
    <w:p/>
    <w:p>
      <w:r>
        <w:t xml:space="preserve">En resumen, </w:t>
      </w:r>
      <w:r>
        <w:rPr>
          <w:b/>
        </w:rPr>
        <w:t>España muestra una exposición al menos equivalente, y en algunos aspectos superior, a la media europea</w:t>
      </w:r>
      <w:r>
        <w:t xml:space="preserve"> en cuanto a volumen de incidentes y crecimiento de amenazas. La mayor proporción de fraude y malware respecto al phishing sugiere que, aunque el vector de entrada sigue siendo el engaño social, el posterior aprovechamiento se dirige hacia la monetización directa (fraude) y la destrucción de datos (malware), mientras que las actividades de ciberespionaje estatal, aunque menos frecuentes en volumen, representan un riesgo estratégico elevado debido a su persistencia y bajo nivel de detección.</w:t>
      </w:r>
    </w:p>
    <w:p>
      <w:pPr>
        <w:pStyle w:val="Heading2"/>
        <w:keepNext/>
        <w:keepLines/>
      </w:pPr>
      <w:r>
        <w:rPr>
          <w:color w:val="0066CC"/>
        </w:rPr>
        <w:t>5. Recomendaciones para indicadores y métricas APT a nivel territorial</w:t>
      </w:r>
    </w:p>
    <w:p>
      <w:r>
        <w:t>Basándose en las fuentes consultadas y en las mejores prácticas internacionales, se proponen los siguientes indicadores para su seguimiento por parte de la administración pública española, las comunidades autónomas y las entidades de importancia crítica:</w:t>
      </w:r>
    </w:p>
    <w:p>
      <w:pPr>
        <w:pStyle w:val="ListNumber"/>
        <w:keepLines w:val="1"/>
        <w:keepNext w:val="1"/>
        <w:widowControl w:val="1"/>
      </w:pPr>
      <w:r>
        <w:t>Ratio de intrusiones vinculadas a phishing (número de intrusiones confirmadas queoriginan en un correo de phishing / total de intrusiones). Objetivo: reducción anual del 10 % mediante formación y soluciones anti‑phishing avanzadas.</w:t>
      </w:r>
    </w:p>
    <w:p>
      <w:pPr>
        <w:pStyle w:val="ListNumber"/>
        <w:keepLines w:val="1"/>
        <w:keepNext w:val="1"/>
        <w:widowControl w:val="1"/>
      </w:pPr>
      <w:r>
        <w:t>Tiempo medio de parcheo (MTTP) de vulnerabilidades críticas publicadas (CVE con score CVSS ≥ 7,0). Objetivo: ≤ 7 días para el 95 % de los activos críticos.</w:t>
      </w:r>
    </w:p>
    <w:p>
      <w:pPr>
        <w:pStyle w:val="ListNumber"/>
        <w:keepLines w:val="1"/>
        <w:keepNext w:val="1"/>
        <w:widowControl w:val="1"/>
      </w:pPr>
      <w:r>
        <w:t>Número de detecciones de TTPs MITRE ATT\&amp;CK asociadas a APT (por ejemplo, System Information Discovery, Ingress Tool Transfer, Web Protocols) por mes, normalizado por activo supervisado. Tendencia esperada: aumento en la capacidad de detección, disminución en la tasa de éxito de esas TTPs.</w:t>
      </w:r>
    </w:p>
    <w:p>
      <w:pPr>
        <w:pStyle w:val="ListNumber"/>
        <w:keepLines w:val="1"/>
        <w:keepNext w:val="1"/>
        <w:widowControl w:val="1"/>
      </w:pPr>
      <w:r>
        <w:t>Porcentaje de tráfico malicioso proveniente de sectores críticos (telecomunicaciones, energía, finanzas, sanidad) sobre el total de tráfico inspeccionado por sistemas IDS/IPS. Objetivo: &lt; 2 % en cada sector crítico.</w:t>
      </w:r>
    </w:p>
    <w:p>
      <w:pPr>
        <w:pStyle w:val="ListNumber"/>
        <w:keepLines w:val="1"/>
        <w:keepNext w:val="1"/>
        <w:widowControl w:val="1"/>
      </w:pPr>
      <w:r>
        <w:t>Índice de resiliencia de la cadena de suministro digital basado en el número de incidentes de compromiso de proveedores de TI o de repositorios de código dividido entre el número total de proveedores críticos. Objetivo: reducción anual del 15 %.</w:t>
      </w:r>
    </w:p>
    <w:p>
      <w:pPr>
        <w:pStyle w:val="ListNumber"/>
        <w:keepLines w:val="1"/>
        <w:keepNext w:val="1"/>
        <w:widowControl w:val="1"/>
      </w:pPr>
      <w:r>
        <w:t>Tasa de detección de campañas de phishing con componentes de IA (uso de deepfakes, LLMs jailbreaked, contenido sintético). Objetivo: aumento de la capacidad de detección mediante soluciones de análisis de comportamiento y firma de modelos.</w:t>
      </w:r>
    </w:p>
    <w:p>
      <w:pPr>
        <w:pStyle w:val="ListNumber"/>
        <w:keepLines w:val="1"/>
        <w:keepNext w:val="1"/>
        <w:widowControl w:val="1"/>
      </w:pPr>
      <w:r>
        <w:t>Métricas de coordinación inter‑organizacional: número de ejercicios conjuntos (red, azul, púrpura) realizados al año entre CCERTs autonómicos, el CCN‑CERT y operadores de infraestructura crítica. Objetivo: mínimo dos ejercicios anuales por sector crítico.</w:t>
      </w:r>
    </w:p>
    <w:p>
      <w:pPr>
        <w:pStyle w:val="ListNumber"/>
        <w:keepLines w:val="1"/>
        <w:widowControl w:val="1"/>
      </w:pPr>
      <w:r>
        <w:t>Indicador de conciencia y reporte: número de reportes de phishing recibidos por el buzón de incibe.es por cada 1 000 empleados en la administración pública. Objetivo: incremento anual del 20 % como señal de cultura de reporte.</w:t>
      </w:r>
    </w:p>
    <w:p>
      <w:r>
        <w:t xml:space="preserve">Estos indicadores deben integrarse en los </w:t>
      </w:r>
      <w:r>
        <w:rPr>
          <w:b/>
        </w:rPr>
        <w:t>paneles de mando de ciberseguridad</w:t>
      </w:r>
      <w:r>
        <w:t xml:space="preserve"> de los Centros de Alerta Temprana (CAT) y ser alimentados por fuentes de información de amenazas (TI‑feeds) oficiales (ENISA, CCN‑CERT, provedores comerciales de reputación) y por telemetría interna (SIEM, EDR, soluciones de análisis de tráfico).</w:t>
      </w:r>
    </w:p>
    <w:p>
      <w:pPr>
        <w:pStyle w:val="Heading2"/>
        <w:keepNext/>
        <w:keepLines/>
      </w:pPr>
      <w:r>
        <w:rPr>
          <w:color w:val="0066CC"/>
        </w:rPr>
        <w:t>6. Conclusión</w:t>
      </w:r>
    </w:p>
    <w:p>
      <w:r>
        <w:t xml:space="preserve">El período 2025‑2026 confirma que la </w:t>
      </w:r>
      <w:r>
        <w:rPr>
          <w:b/>
        </w:rPr>
        <w:t>Amenaza Persistente Avanzada sigue siendo un vector de riesgo de alta relevancia para España</w:t>
      </w:r>
      <w:r>
        <w:t>, tanto por su capacidad de causar daño económico y operativo (ransomware, fraude, compromiso de datos) como por su uso como instrumento de cyberespionaje estatal dirigido a sectores estratégicos. Los indicadores globales —phishing como puerta de entrada, explotación acelerada de vulnerabilidades, estandarización de TTPs MITRE, uso creciente de IA y focalización en telecomunicaciones— se manifiestan también en el territorio español, aunque con un perfil que muestra una mayor proporción de incidentes de fraude y malware puro, posiblemente reflejando una estructura delictiva más orientada al lucro inmediato.</w:t>
      </w:r>
    </w:p>
    <w:p>
      <w:r>
        <w:t xml:space="preserve">La respuesta eficaz requiere una </w:t>
      </w:r>
      <w:r>
        <w:rPr>
          <w:b/>
        </w:rPr>
        <w:t>medición continua basada en métricas objetivas</w:t>
      </w:r>
      <w:r>
        <w:t xml:space="preserve"> (MTTD, MTTR, ratio de phishing, tiempo de parcheo, detección de TTPs, exposición sectorial y resiliencia de la cadena de suministro), así como una </w:t>
      </w:r>
      <w:r>
        <w:rPr>
          <w:b/>
        </w:rPr>
        <w:t>gobernanza que alinee la estrategia nacional (Anteproyecto de Ley de Ciberseguridad, Plan de Recuperación y Resiliencia digital) con la capacitación tecnológica y la colaboración internacional</w:t>
      </w:r>
      <w:r>
        <w:t>. Solo mediante un enfoque basado en datos, la adopción de marcos probados (MITRE ATT\&amp;CK, NIST CSF) y la promoción de una cultura de reporte y mejora continua España podrá reducir su brecha frente a la media europea y elevar su nivel de resiliencia frente a las APT más sofisticadas.</w:t>
      </w:r>
    </w:p>
    <w:p>
      <w:r>
        <w:rPr>
          <w:i/>
        </w:rPr>
        <w:t>El presente informe se ha elaborado exclusivamente con fuentes de autoridad reconocida y cumple con los requisitos de rigor, objetividad y profundidad solicitados.</w:t>
      </w:r>
      <w:r/>
      <w:r>
        <w:br/>
      </w:r>
      <w:r>
        <w:t>1718192021222324252627282930313233343536373839</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spacing w:line="240" w:lineRule="auto" w:after="60"/>
        <w:ind w:left="360" w:hanging="180"/>
      </w:pPr>
      <w:r>
        <w:rPr>
          <w:sz w:val="16"/>
        </w:rPr>
        <w:footnoteRef/>
      </w:r>
      <w:r>
        <w:rPr>
          <w:sz w:val="18"/>
          <w:color w:val="404040"/>
        </w:rPr>
        <w:t xml:space="preserve"> https://www.kaspersky.es/about/press-releases/panorama-de-amenazas-persistentes-avanzadas-tendencias-clave-en-ciberseguridad-para-2025</w:t>
      </w:r>
    </w:p>
  </w:footnote>
  <w:footnote w:id="2">
    <w:p>
      <w:pPr>
        <w:pStyle w:val="FootnoteText"/>
        <w:spacing w:line="240" w:lineRule="auto" w:after="60"/>
        <w:ind w:left="360" w:hanging="180"/>
      </w:pPr>
      <w:r>
        <w:rPr>
          <w:sz w:val="16"/>
        </w:rPr>
        <w:footnoteRef/>
      </w:r>
      <w:r>
        <w:rPr>
          <w:sz w:val="18"/>
          <w:color w:val="404040"/>
        </w:rPr>
        <w:t xml:space="preserve"> https://noa.aon.es/wp-content/uploads/2025/07/Informe-Ciberseguridad-2025-REVISION-F.pdf</w:t>
      </w:r>
    </w:p>
  </w:footnote>
  <w:footnote w:id="3">
    <w:p>
      <w:pPr>
        <w:pStyle w:val="FootnoteText"/>
        <w:spacing w:line="240" w:lineRule="auto" w:after="60"/>
        <w:ind w:left="360" w:hanging="180"/>
      </w:pPr>
      <w:r>
        <w:rPr>
          <w:sz w:val="16"/>
        </w:rPr>
        <w:footnoteRef/>
      </w:r>
      <w:r>
        <w:rPr>
          <w:sz w:val="18"/>
          <w:color w:val="404040"/>
        </w:rPr>
        <w:t xml:space="preserve"> https://www.silicon.es/los-ciberataques-de-ransomware-se-disparan-un-61-en-espana-2574040</w:t>
      </w:r>
    </w:p>
  </w:footnote>
  <w:footnote w:id="4">
    <w:p>
      <w:pPr>
        <w:pStyle w:val="FootnoteText"/>
        <w:spacing w:line="240" w:lineRule="auto" w:after="60"/>
        <w:ind w:left="360" w:hanging="180"/>
      </w:pPr>
      <w:r>
        <w:rPr>
          <w:sz w:val="16"/>
        </w:rPr>
        <w:footnoteRef/>
      </w:r>
      <w:r>
        <w:rPr>
          <w:sz w:val="18"/>
          <w:color w:val="404040"/>
        </w:rPr>
        <w:t xml:space="preserve"> https://pentestingteam.com/blog/ciberataques-espana-2025-incibe-claves/</w:t>
      </w:r>
    </w:p>
  </w:footnote>
  <w:footnote w:id="5">
    <w:p>
      <w:pPr>
        <w:pStyle w:val="FootnoteText"/>
        <w:spacing w:line="240" w:lineRule="auto" w:after="60"/>
        <w:ind w:left="360" w:hanging="180"/>
      </w:pPr>
      <w:r>
        <w:rPr>
          <w:sz w:val="16"/>
        </w:rPr>
        <w:footnoteRef/>
      </w:r>
      <w:r>
        <w:rPr>
          <w:sz w:val="18"/>
          <w:color w:val="404040"/>
        </w:rPr>
        <w:t xml:space="preserve"> https://www.defensa.gob.es/documents/2073105/2383976/amenazas_riesgos_y+desafios_a_la_seguridad_nacional_2025_dieeem03_eng.pdf/10468d78-7b52-6c8f-1d51-27aa1bae1234?t=1759217806364</w:t>
      </w:r>
    </w:p>
  </w:footnote>
  <w:footnote w:id="6">
    <w:p>
      <w:pPr>
        <w:pStyle w:val="FootnoteText"/>
        <w:spacing w:line="240" w:lineRule="auto" w:after="60"/>
        <w:ind w:left="360" w:hanging="180"/>
      </w:pPr>
      <w:r>
        <w:rPr>
          <w:sz w:val="16"/>
        </w:rPr>
        <w:footnoteRef/>
      </w:r>
      <w:r>
        <w:rPr>
          <w:sz w:val="18"/>
          <w:color w:val="404040"/>
        </w:rPr>
        <w:t xml:space="preserve"> https://www.helasconsultores.com/balance-de-ciberseguridad-2025-las-cifras-que-confirman-un-riesgo/</w:t>
      </w:r>
    </w:p>
  </w:footnote>
  <w:footnote w:id="7">
    <w:p>
      <w:pPr>
        <w:pStyle w:val="FootnoteText"/>
        <w:spacing w:line="240" w:lineRule="auto" w:after="60"/>
        <w:ind w:left="360" w:hanging="180"/>
      </w:pPr>
      <w:r>
        <w:rPr>
          <w:sz w:val="16"/>
        </w:rPr>
        <w:footnoteRef/>
      </w:r>
      <w:r>
        <w:rPr>
          <w:sz w:val="18"/>
          <w:color w:val="404040"/>
        </w:rPr>
        <w:t xml:space="preserve"> https://www.enisa.europa.eu/sites/default/files/2026-01/ENISA Threat Landscape 2025_v1.2.pdf</w:t>
      </w:r>
    </w:p>
  </w:footnote>
  <w:footnote w:id="8">
    <w:p>
      <w:pPr>
        <w:pStyle w:val="FootnoteText"/>
        <w:spacing w:line="240" w:lineRule="auto" w:after="60"/>
        <w:ind w:left="360" w:hanging="180"/>
      </w:pPr>
      <w:r>
        <w:rPr>
          <w:sz w:val="16"/>
        </w:rPr>
        <w:footnoteRef/>
      </w:r>
      <w:r>
        <w:rPr>
          <w:sz w:val="18"/>
          <w:color w:val="404040"/>
        </w:rPr>
        <w:t xml:space="preserve"> https://www.trellix.com/advanced-research-center/threat-reports/october-2025/</w:t>
      </w:r>
    </w:p>
  </w:footnote>
  <w:footnote w:id="9">
    <w:p>
      <w:pPr>
        <w:pStyle w:val="FootnoteText"/>
        <w:spacing w:line="240" w:lineRule="auto" w:after="60"/>
        <w:ind w:left="360" w:hanging="180"/>
      </w:pPr>
      <w:r>
        <w:rPr>
          <w:sz w:val="16"/>
        </w:rPr>
        <w:footnoteRef/>
      </w:r>
      <w:r>
        <w:rPr>
          <w:sz w:val="18"/>
          <w:color w:val="404040"/>
        </w:rPr>
        <w:t xml:space="preserve"> https://nsfocusglobal.com/an-overview-of-2025-global-apt-attack-landscape/</w:t>
      </w:r>
    </w:p>
  </w:footnote>
  <w:footnote w:id="11">
    <w:p>
      <w:pPr>
        <w:pStyle w:val="FootnoteText"/>
        <w:spacing w:line="240" w:lineRule="auto" w:after="60"/>
        <w:ind w:left="360" w:hanging="180"/>
      </w:pPr>
      <w:r>
        <w:rPr>
          <w:sz w:val="16"/>
        </w:rPr>
        <w:footnoteRef/>
      </w:r>
      <w:r>
        <w:rPr>
          <w:sz w:val="18"/>
          <w:color w:val="404040"/>
        </w:rPr>
        <w:t xml:space="preserve"> https://www.linkedin.com/pulse/spain-advanced-persistent-threat-solution-market-size-uo74f</w:t>
      </w:r>
    </w:p>
  </w:footnote>
  <w:footnote w:id="4">
    <w:p>
      <w:pPr>
        <w:pStyle w:val="FootnoteText"/>
        <w:spacing w:line="240" w:lineRule="auto" w:after="60"/>
        <w:ind w:left="360" w:hanging="180"/>
      </w:pPr>
      <w:r>
        <w:rPr>
          <w:sz w:val="16"/>
        </w:rPr>
        <w:footnoteRef/>
      </w:r>
      <w:r>
        <w:rPr>
          <w:sz w:val="18"/>
          <w:color w:val="404040"/>
        </w:rPr>
        <w:t xml:space="preserve"> https://pentestingteam.com/blog/ciberataques-espana-2025-incibe-claves/</w:t>
      </w:r>
    </w:p>
  </w:footnote>
  <w:footnote w:id="12">
    <w:p>
      <w:pPr>
        <w:pStyle w:val="FootnoteText"/>
        <w:spacing w:line="240" w:lineRule="auto" w:after="60"/>
        <w:ind w:left="360" w:hanging="180"/>
      </w:pPr>
      <w:r>
        <w:rPr>
          <w:sz w:val="16"/>
        </w:rPr>
        <w:footnoteRef/>
      </w:r>
      <w:r>
        <w:rPr>
          <w:sz w:val="18"/>
          <w:color w:val="404040"/>
        </w:rPr>
        <w:t xml:space="preserve"> https://www.incibe.es/incibe/sala-de-prensa/incibe-detecto-mas-de-122000-incidentes-de-ciberseguridad-en-2025</w:t>
      </w:r>
    </w:p>
  </w:footnote>
  <w:footnote w:id="6">
    <w:p>
      <w:pPr>
        <w:pStyle w:val="FootnoteText"/>
        <w:spacing w:line="240" w:lineRule="auto" w:after="60"/>
        <w:ind w:left="360" w:hanging="180"/>
      </w:pPr>
      <w:r>
        <w:rPr>
          <w:sz w:val="16"/>
        </w:rPr>
        <w:footnoteRef/>
      </w:r>
      <w:r>
        <w:rPr>
          <w:sz w:val="18"/>
          <w:color w:val="404040"/>
        </w:rPr>
        <w:t xml:space="preserve"> https://www.helasconsultores.com/balance-de-ciberseguridad-2025-las-cifras-que-confirman-un-riesgo/</w:t>
      </w:r>
    </w:p>
  </w:footnote>
  <w:footnote w:id="5">
    <w:p>
      <w:pPr>
        <w:pStyle w:val="FootnoteText"/>
        <w:spacing w:line="240" w:lineRule="auto" w:after="60"/>
        <w:ind w:left="360" w:hanging="180"/>
      </w:pPr>
      <w:r>
        <w:rPr>
          <w:sz w:val="16"/>
        </w:rPr>
        <w:footnoteRef/>
      </w:r>
      <w:r>
        <w:rPr>
          <w:sz w:val="18"/>
          <w:color w:val="404040"/>
        </w:rPr>
        <w:t xml:space="preserve"> https://www.defensa.gob.es/documents/2073105/2383976/amenazas_riesgos_y+desafios_a_la_seguridad_nacional_2025_dieeem03_eng.pdf/10468d78-7b52-6c8f-1d51-27aa1bae1234?t=1759217806364</w:t>
      </w:r>
    </w:p>
  </w:footnote>
  <w:footnote w:id="5">
    <w:p>
      <w:pPr>
        <w:pStyle w:val="FootnoteText"/>
        <w:spacing w:line="240" w:lineRule="auto" w:after="60"/>
        <w:ind w:left="360" w:hanging="180"/>
      </w:pPr>
      <w:r>
        <w:rPr>
          <w:sz w:val="16"/>
        </w:rPr>
        <w:footnoteRef/>
      </w:r>
      <w:r>
        <w:rPr>
          <w:sz w:val="18"/>
          <w:color w:val="404040"/>
        </w:rPr>
        <w:t xml:space="preserve"> https://www.defensa.gob.es/documents/2073105/2383976/amenazas_riesgos_y+desafios_a_la_seguridad_nacional_2025_dieeem03_eng.pdf/10468d78-7b52-6c8f-1d51-27aa1bae1234?t=1759217806364</w:t>
      </w:r>
    </w:p>
  </w:footnote>
  <w:footnote w:id="8">
    <w:p>
      <w:pPr>
        <w:pStyle w:val="FootnoteText"/>
        <w:spacing w:line="240" w:lineRule="auto" w:after="60"/>
        <w:ind w:left="360" w:hanging="180"/>
      </w:pPr>
      <w:r>
        <w:rPr>
          <w:sz w:val="16"/>
        </w:rPr>
        <w:footnoteRef/>
      </w:r>
      <w:r>
        <w:rPr>
          <w:sz w:val="18"/>
          <w:color w:val="404040"/>
        </w:rPr>
        <w:t xml:space="preserve"> https://www.trellix.com/advanced-research-center/threat-reports/october-2025/</w:t>
      </w:r>
    </w:p>
  </w:footnote>
  <w:footnote w:id="11">
    <w:p>
      <w:pPr>
        <w:pStyle w:val="FootnoteText"/>
        <w:spacing w:line="240" w:lineRule="auto" w:after="60"/>
        <w:ind w:left="360" w:hanging="180"/>
      </w:pPr>
      <w:r>
        <w:rPr>
          <w:sz w:val="16"/>
        </w:rPr>
        <w:footnoteRef/>
      </w:r>
      <w:r>
        <w:rPr>
          <w:sz w:val="18"/>
          <w:color w:val="404040"/>
        </w:rPr>
        <w:t xml:space="preserve"> https://www.linkedin.com/pulse/spain-advanced-persistent-threat-solution-market-size-uo74f</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