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GQM + PRAGMATIC para la encuesta APT</w:t>
      </w:r>
    </w:p>
    <w:p>
      <w:r>
        <w:t xml:space="preserve">Este repositorio (o conjunto de archivos) contiene todo lo necesario para diseñar, aplicar, analizar y presentar una encuesta de madurez frente a Amenazas Persistentes Avanzadas (APT) a nivel organizativo en España, siguiendo el método </w:t>
      </w:r>
      <w:r>
        <w:rPr>
          <w:b/>
        </w:rPr>
        <w:t>Goal‑Question‑Metric (GQM)</w:t>
      </w:r>
      <w:r>
        <w:t xml:space="preserve"> y validando cada métrica con los nueve criterios </w:t>
      </w:r>
      <w:r>
        <w:rPr>
          <w:b/>
        </w:rPr>
        <w:t>PRAGMATIC</w:t>
      </w:r>
      <w:r>
        <w:t xml:space="preserve"> (Predictivo, Relevante, Accionable, Genuino, Significativo, Preciso, Oportuno, Independiente y Rentable).</w:t>
      </w:r>
    </w:p>
    <w:p>
      <w:pPr>
        <w:pStyle w:val="Heading2"/>
        <w:keepNext/>
        <w:keepLines/>
      </w:pPr>
      <w:r>
        <w:rPr>
          <w:color w:val="0066CC"/>
        </w:rPr>
        <w:t>📁 Estructura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marco_GQM_PRAGMATIC_APT.md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(a) Marco integrativo: define los Goals nacionales, deriva las Questions y muestra cómo se aplican los criterios PRAGMATIC a cada métrica.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matriz_PRAGMATIC_APT.md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(b) Matriz de evaluación PRAGMATIC completa: puntuación y justificación para cada métrica bajo los nueve atributos.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narrativa_GQM_PRAGMATIC_APT.md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(c) Narrativa explicativa: razonamiento de por qué se usa GQM + PRAGMATIC y beneficios para la organización y el ámbito nacional.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mapeo_normativo_GQM_PRAGMATIC_APT.md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(d) Mapeo detallado de cada pregunta de la encuesta a requisitos normativos (NIS2, NIST CSF 2.0, ISO 27001:2022, ENS/CCN‑STIC, MITRE ATT&amp;CK).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plantilla_excel_GQM_IGM_ROI_APT.md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(e) Instrucciones para implementar en Excel (o LibreOffice) el cálculo del Índice Global de Madurez (IGM) y el ROI de ciberseguridad, usando únicamente las métricas aprobadas por GQM + PRAGMATIC.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plantilla_PPT_GQM_PRAGMATIC_APT.md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(f) Guía de diapositivas para un Reporte Ejecutivo en PowerPoint (o Google Slides/Keynote) que comunica los resultados a alta dirección.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README_GQM_PRAGMATIC_APT.md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(g) Este archivo: presentación del kit, instrucciones de uso y pasos siguientes.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🚀 Cómo usar el kit</w:t>
      </w:r>
    </w:p>
    <w:p>
      <w:pPr>
        <w:pStyle w:val="ListNumber"/>
        <w:keepLines w:val="1"/>
        <w:keepNext w:val="1"/>
        <w:widowControl w:val="1"/>
      </w:pPr>
      <w:r>
        <w:t xml:space="preserve">Revisar el Marco (a) </w:t>
      </w:r>
    </w:p>
    <w:p>
      <w:pPr>
        <w:pStyle w:val="ListNumber"/>
        <w:keepLines w:val="1"/>
        <w:keepNext w:val="1"/>
        <w:widowControl w:val="1"/>
      </w:pPr>
      <w:r>
        <w:t xml:space="preserve">Entender los Goals nacionales de resiliencia frente a APT.  </w:t>
      </w:r>
    </w:p>
    <w:p>
      <w:pPr>
        <w:pStyle w:val="ListNumber"/>
        <w:keepLines w:val="1"/>
        <w:keepNext w:val="1"/>
        <w:widowControl w:val="1"/>
      </w:pPr>
      <w:r>
        <w:br/>
        <w:t xml:space="preserve">Ver cómo cada pregunta de la encuesta responde a una Question concreta y qué métrica se propone.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Consultar la Matriz PRAGMATIC (b) </w:t>
        <w:br/>
      </w:r>
    </w:p>
    <w:p>
      <w:pPr>
        <w:pStyle w:val="ListNumber"/>
        <w:keepLines w:val="1"/>
        <w:keepNext w:val="1"/>
        <w:widowControl w:val="1"/>
      </w:pPr>
      <w:r>
        <w:t xml:space="preserve">Verificar que cada métrica propuesta cumple con los atributos de calidad.  </w:t>
      </w:r>
    </w:p>
    <w:p>
      <w:pPr>
        <w:pStyle w:val="ListNumber"/>
        <w:keepLines w:val="1"/>
        <w:keepNext w:val="1"/>
        <w:widowControl w:val="1"/>
      </w:pPr>
      <w:r>
        <w:br/>
        <w:t xml:space="preserve">Si alguna métrica obtiene una puntuación baja en algún atributo, considerar ajustarla o descartarla.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Leer la Narrativa (c) para internalizar la filosofía del enfoque y poder explicarla a stakeholders.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Confirmar el Mapeo a Normativas (d) </w:t>
        <w:br/>
      </w:r>
    </w:p>
    <w:p>
      <w:pPr>
        <w:pStyle w:val="ListNumber"/>
        <w:keepLines w:val="1"/>
        <w:keepNext w:val="1"/>
        <w:widowControl w:val="1"/>
      </w:pPr>
      <w:r>
        <w:t xml:space="preserve">Asegurarse de que la encuesta también cumple con los requerimientos legales y de buenas prácticas (NIS2, etc.).  </w:t>
      </w:r>
    </w:p>
    <w:p>
      <w:pPr>
        <w:pStyle w:val="ListNumber"/>
        <w:keepLines w:val="1"/>
        <w:keepNext w:val="1"/>
        <w:widowControl w:val="1"/>
      </w:pPr>
      <w:r>
        <w:br/>
        <w:t xml:space="preserve">Este mapeo es útil para auditorías o para demostrar alineamiento con marcos de referencia.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Implementar la Plantilla Excel (e) </w:t>
        <w:br/>
      </w:r>
    </w:p>
    <w:p>
      <w:pPr>
        <w:pStyle w:val="ListNumber"/>
        <w:keepLines w:val="1"/>
        <w:keepNext w:val="1"/>
        <w:widowControl w:val="1"/>
      </w:pPr>
      <w:r>
        <w:t xml:space="preserve">Crear el libro de trabajo siguiendo las indicaciones de las hojas 1_Respuestas, 2_Puntuaciones, 3_IGM_Cálculo y 4_ROI_Escenarios.  </w:t>
      </w:r>
    </w:p>
    <w:p>
      <w:pPr>
        <w:pStyle w:val="ListNumber"/>
        <w:keepLines w:val="1"/>
        <w:keepNext w:val="1"/>
        <w:widowControl w:val="1"/>
      </w:pPr>
      <w:r>
        <w:t xml:space="preserve">Usar listas desplegables y validación de datos para asegurar consistencia.  </w:t>
      </w:r>
    </w:p>
    <w:p>
      <w:pPr>
        <w:pStyle w:val="ListNumber"/>
        <w:keepLines w:val="1"/>
        <w:keepNext w:val="1"/>
        <w:widowControl w:val="1"/>
      </w:pPr>
      <w:r>
        <w:br/>
        <w:t xml:space="preserve">Ejecutar el cálculo del IGM y del ROI bajo diferentes escenarios de mejora.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Generar el Reporte PowerPoint (f) </w:t>
        <w:br/>
      </w:r>
    </w:p>
    <w:p>
      <w:pPr>
        <w:pStyle w:val="ListNumber"/>
        <w:keepLines w:val="1"/>
        <w:keepNext w:val="1"/>
        <w:widowControl w:val="1"/>
      </w:pPr>
      <w:r>
        <w:t xml:space="preserve">Tomar los valores de IGM, sub‑índices por bloque, métricas operativas (MTTD, MTTR, etc.) y ROI de la hoja de Excel.  </w:t>
      </w:r>
    </w:p>
    <w:p>
      <w:pPr>
        <w:pStyle w:val="ListNumber"/>
        <w:keepLines w:val="1"/>
        <w:keepNext w:val="1"/>
        <w:widowControl w:val="1"/>
      </w:pPr>
      <w:r>
        <w:t xml:space="preserve">Rellenar las diapositivas de la plantilla con los gráficos y tablas sugeridas.  </w:t>
      </w:r>
    </w:p>
    <w:p>
      <w:pPr>
        <w:pStyle w:val="ListNumber"/>
        <w:keepLines w:val="1"/>
        <w:keepNext w:val="1"/>
        <w:widowControl w:val="1"/>
      </w:pPr>
      <w:r>
        <w:br/>
        <w:t xml:space="preserve">Añadir el logo institucional y ajustar los colores según la guía de estilo de su organización.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Distribuir y aplicar la encuesta </w:t>
        <w:br/>
      </w:r>
    </w:p>
    <w:p>
      <w:pPr>
        <w:pStyle w:val="ListNumber"/>
        <w:keepLines w:val="1"/>
        <w:keepNext w:val="1"/>
        <w:widowControl w:val="1"/>
      </w:pPr>
      <w:r>
        <w:t xml:space="preserve">Utilizar el modelo de encuesta del informe APT previo (o adaptarlo según su sector).  </w:t>
      </w:r>
    </w:p>
    <w:p>
      <w:pPr>
        <w:pStyle w:val="ListNumber"/>
        <w:keepLines w:val="1"/>
        <w:keepNext w:val="1"/>
        <w:widowControl w:val="1"/>
      </w:pPr>
      <w:r>
        <w:br/>
        <w:t xml:space="preserve">Recopilar las respuestas (Google Forms, Microsoft Forms, LimeSurvey, etc.) y exportarlas a CSV para importarlas a la hoja 1_Respuestas del libro de Excel.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Analizar y comunicar </w:t>
        <w:br/>
      </w:r>
    </w:p>
    <w:p>
      <w:pPr>
        <w:pStyle w:val="ListNumber"/>
        <w:keepLines w:val="1"/>
        <w:keepNext w:val="1"/>
        <w:widowControl w:val="1"/>
      </w:pPr>
      <w:r>
        <w:t xml:space="preserve">Calcular el IGM_global y los sub‑índices de bloque.  </w:t>
      </w:r>
    </w:p>
    <w:p>
      <w:pPr>
        <w:pStyle w:val="ListNumber"/>
        <w:keepLines w:val="1"/>
        <w:keepNext w:val="1"/>
        <w:widowControl w:val="1"/>
      </w:pPr>
      <w:r>
        <w:t xml:space="preserve">Interpretar los resultados respecto a los Goals nacionales (ver tabla de Goals en el Marco).  </w:t>
      </w:r>
    </w:p>
    <w:p>
      <w:pPr>
        <w:pStyle w:val="ListNumber"/>
        <w:keepLines w:val="1"/>
        <w:keepNext w:val="1"/>
        <w:widowControl w:val="1"/>
      </w:pPr>
      <w:r>
        <w:br/>
        <w:t xml:space="preserve">Elaborar el informe ejecutivo usando la plantilla de PowerPoint y compartirlo con la alta dirección, comités de riesgo y, si procede, con órganos reguladores (ej. INCIBE, CCN‑CERT).  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Plan de mejora </w:t>
        <w:br/>
      </w:r>
    </w:p>
    <w:p>
      <w:pPr>
        <w:pStyle w:val="ListNumber"/>
        <w:keepLines w:val="1"/>
        <w:keepNext w:val="1"/>
        <w:widowControl w:val="1"/>
      </w:pPr>
      <w:r>
        <w:t xml:space="preserve">Basarse en las áreas con IGM_b bajo (&lt; 0.4) para definir proyectos concretos (mejorar gobernanza, automatizar parcheo, incrementar capacidades de detección TTPs, etc.).  </w:t>
      </w:r>
    </w:p>
    <w:p>
      <w:pPr>
        <w:pStyle w:val="ListNumber"/>
        <w:keepLines w:val="1"/>
        <w:widowControl w:val="1"/>
      </w:pPr>
      <w:r>
        <w:t xml:space="preserve">Establecer objetivos de mejora trimestrales y usar la encuesta en rondas sucesivas para medir el avance.  </w:t>
      </w:r>
    </w:p>
    <w:p>
      <w:r>
        <w:t xml:space="preserve">Ver cómo cada pregunta de la encuesta responde a una Question concreta y qué métrica se propone.  </w:t>
      </w:r>
    </w:p>
    <w:p>
      <w:r>
        <w:rPr>
          <w:b/>
        </w:rPr>
        <w:t>Consultar la Matriz PRAGMATIC (b)</w:t>
      </w:r>
      <w:r>
        <w:t xml:space="preserve"> </w:t>
      </w:r>
    </w:p>
    <w:p>
      <w:r>
        <w:t xml:space="preserve">Si alguna métrica obtiene una puntuación baja en algún atributo, considerar ajustarla o descartarla.  </w:t>
      </w:r>
    </w:p>
    <w:p>
      <w:r>
        <w:rPr>
          <w:b/>
        </w:rPr>
        <w:t>Leer la Narrativa (c)</w:t>
      </w:r>
      <w:r>
        <w:t xml:space="preserve"> para internalizar la filosofía del enfoque y poder explicarla a stakeholders.  </w:t>
      </w:r>
    </w:p>
    <w:p>
      <w:r>
        <w:rPr>
          <w:b/>
        </w:rPr>
        <w:t>Confirmar el Mapeo a Normativas (d)</w:t>
      </w:r>
      <w:r>
        <w:t xml:space="preserve"> </w:t>
      </w:r>
    </w:p>
    <w:p>
      <w:r>
        <w:t xml:space="preserve">Este mapeo es útil para auditorías o para demostrar alineamiento con marcos de referencia.  </w:t>
      </w:r>
    </w:p>
    <w:p>
      <w:r>
        <w:rPr>
          <w:b/>
        </w:rPr>
        <w:t>Implementar la Plantilla Excel (e)</w:t>
      </w:r>
      <w:r>
        <w:t xml:space="preserve"> </w:t>
      </w:r>
    </w:p>
    <w:p>
      <w:r>
        <w:t xml:space="preserve">Ejecutar el cálculo del IGM y del ROI bajo diferentes escenarios de mejora.  </w:t>
      </w:r>
    </w:p>
    <w:p>
      <w:r>
        <w:rPr>
          <w:b/>
        </w:rPr>
        <w:t>Generar el Reporte PowerPoint (f)</w:t>
      </w:r>
      <w:r>
        <w:t xml:space="preserve"> </w:t>
      </w:r>
    </w:p>
    <w:p>
      <w:r>
        <w:t xml:space="preserve">Añadir el logo institucional y ajustar los colores según la guía de estilo de su organización.  </w:t>
      </w:r>
    </w:p>
    <w:p>
      <w:r>
        <w:rPr>
          <w:b/>
        </w:rPr>
        <w:t>Distribuir y aplicar la encuesta</w:t>
      </w:r>
      <w:r>
        <w:t xml:space="preserve"> </w:t>
      </w:r>
    </w:p>
    <w:p>
      <w:r>
        <w:t xml:space="preserve">Recopilar las respuestas (Google Forms, Microsoft Forms, LimeSurvey, etc.) y exportarlas a CSV para importarlas a la hoja </w:t>
      </w:r>
      <w:r>
        <w:rPr>
          <w:b/>
        </w:rPr>
        <w:t>1_Respuestas</w:t>
      </w:r>
      <w:r>
        <w:t xml:space="preserve"> del libro de Excel.  </w:t>
      </w:r>
    </w:p>
    <w:p>
      <w:r>
        <w:rPr>
          <w:b/>
        </w:rPr>
        <w:t>Analizar y comunicar</w:t>
      </w:r>
      <w:r>
        <w:t xml:space="preserve"> </w:t>
      </w:r>
    </w:p>
    <w:p>
      <w:r>
        <w:t xml:space="preserve">Elaborar el informe ejecutivo usando la plantilla de PowerPoint y compartirlo con la alta dirección, comités de riesgo y, si procede, con órganos reguladores (ej. INCIBE, CCN‑CERT).  </w:t>
      </w:r>
    </w:p>
    <w:p>
      <w:r>
        <w:rPr>
          <w:b/>
        </w:rPr>
        <w:t>Plan de mejora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🛠️ Requisitos técnicos</w:t>
      </w:r>
    </w:p>
    <w:p>
      <w:pPr>
        <w:pStyle w:val="ListBullet"/>
        <w:keepLines w:val="1"/>
        <w:keepNext w:val="1"/>
        <w:widowControl w:val="1"/>
      </w:pPr>
      <w:r>
        <w:t xml:space="preserve">Hoja de cálculo: Microsoft Excel 2016+ o LibreOffice Calc (las fórmulas usan funciones estándar: PROMEDIO, SUMPRODUCTO, SI, BUSCARV, etc.).  </w:t>
      </w:r>
    </w:p>
    <w:p>
      <w:pPr>
        <w:pStyle w:val="ListBullet"/>
        <w:keepLines w:val="1"/>
        <w:keepNext w:val="1"/>
        <w:widowControl w:val="1"/>
      </w:pPr>
      <w:r>
        <w:t xml:space="preserve">Encuesta: cualquier herramienta que permita exportar respuestas a CSV/TSV (Google Forms, Microsoft Forms, SurveyMonkey, LimeSurvey, etc.).  </w:t>
      </w:r>
    </w:p>
    <w:p>
      <w:pPr>
        <w:pStyle w:val="ListBullet"/>
        <w:keepLines w:val="1"/>
        <w:keepNext w:val="1"/>
        <w:widowControl w:val="1"/>
      </w:pPr>
      <w:r>
        <w:t xml:space="preserve">Presentación: Microsoft PowerPoint, Google Slides o Apple Keynote.  </w:t>
      </w:r>
    </w:p>
    <w:p>
      <w:pPr>
        <w:pStyle w:val="ListBullet"/>
        <w:keepLines w:val="1"/>
        <w:widowControl w:val="1"/>
      </w:pPr>
      <w:r>
        <w:t xml:space="preserve">Conexión a internet solo necesaria para descargar plantillas o actualizar referencias; el cálculo se realiza totalmente offline.  </w:t>
      </w:r>
    </w:p>
    <w:p>
      <w:pPr>
        <w:pStyle w:val="Heading2"/>
        <w:keepNext/>
        <w:keepLines/>
      </w:pPr>
      <w:r>
        <w:rPr>
          <w:color w:val="0066CC"/>
        </w:rPr>
        <w:t>📄 Licencia y uso</w:t>
      </w:r>
    </w:p>
    <w:p>
      <w:r>
        <w:t xml:space="preserve">El contenido de este kit se ofrece bajo una </w:t>
      </w:r>
      <w:r>
        <w:rPr>
          <w:b/>
        </w:rPr>
        <w:t>licencia CC‑BY‑4.0</w:t>
      </w:r>
      <w:r>
        <w:t xml:space="preserve"> (Atribución).</w:t>
      </w:r>
      <w:r/>
      <w:r>
        <w:br/>
        <w:t>Usted es libre de:</w:t>
      </w:r>
      <w:r/>
      <w:r>
        <w:br/>
        <w:t xml:space="preserve">- </w:t>
      </w:r>
      <w:r>
        <w:rPr>
          <w:b/>
        </w:rPr>
        <w:t>Compartir</w:t>
      </w:r>
      <w:r>
        <w:t xml:space="preserve"> — copiar y redistribuir el material en cualquier medio o formato.</w:t>
      </w:r>
      <w:r/>
      <w:r>
        <w:br/>
        <w:t xml:space="preserve">- </w:t>
      </w:r>
      <w:r>
        <w:rPr>
          <w:b/>
        </w:rPr>
        <w:t>Adaptar</w:t>
      </w:r>
      <w:r>
        <w:t xml:space="preserve"> — remixar, transformar y crear obras derivadas a partir del material.  </w:t>
      </w:r>
    </w:p>
    <w:p>
      <w:r>
        <w:t xml:space="preserve">Bajo la condición de dar </w:t>
      </w:r>
      <w:r>
        <w:rPr>
          <w:b/>
        </w:rPr>
        <w:t>crédito adecuado</w:t>
      </w:r>
      <w:r>
        <w:t>, proporcionar un enlace a la licencia y indicar si se realizaron cambios.</w:t>
      </w:r>
      <w:r/>
      <w:r>
        <w:br/>
        <w:t>Se recomienda mantener la referencia a los marcos originales (NIS2, NIST CSF, ISO 27001, MITRE ATT&amp;CK, etc.) en cualquier obra derivada.</w:t>
      </w:r>
    </w:p>
    <w:p>
      <w:pPr>
        <w:pStyle w:val="Heading2"/>
        <w:keepNext/>
        <w:keepLines/>
      </w:pPr>
      <w:r>
        <w:rPr>
          <w:color w:val="0066CC"/>
        </w:rPr>
        <w:t>📬 Soporte y retroalimentación</w:t>
      </w:r>
    </w:p>
    <w:p>
      <w:r>
        <w:t>Si tiene preguntas, desea reportar un error o sugerir mejoras, por favor:</w:t>
      </w:r>
      <w:r/>
      <w:r>
        <w:br/>
        <w:t xml:space="preserve">- Abrir un </w:t>
      </w:r>
      <w:r>
        <w:rPr>
          <w:i/>
        </w:rPr>
        <w:t>issue</w:t>
      </w:r>
      <w:r>
        <w:t xml:space="preserve"> en el repositorio (si está alojado en Git/Gitlab).</w:t>
      </w:r>
      <w:r/>
      <w:r>
        <w:br/>
        <w:t xml:space="preserve">- Enviar un correo a: </w:t>
      </w:r>
      <w:r>
        <w:rPr>
          <w:b/>
        </w:rPr>
        <w:t>apt-survey@ejemplo.es</w:t>
      </w:r>
      <w:r>
        <w:t xml:space="preserve"> (ejemplo de dirección de contacto).  </w:t>
      </w:r>
    </w:p>
    <w:p>
      <w:r>
        <w:t>Agradecemos su interés en elevar la resiliencia de las organizaciones españolas frente a las APT. ¡Que los datos guíen mejores decisiones!</w:t>
      </w:r>
    </w:p>
    <w:p>
      <w:r>
        <w:rPr>
          <w:i/>
        </w:rPr>
        <w:t>Última actualización: 7 abril 2026</w:t>
      </w:r>
      <w:r>
        <w:t xml:space="preserve">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