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del Kit de Encuesta APT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archivos:</w:t>
      </w:r>
    </w:p>
    <w:p>
      <w:pPr>
        <w:pStyle w:val="ListBullet"/>
        <w:keepLines w:val="1"/>
        <w:keepNext w:val="1"/>
        <w:widowControl w:val="1"/>
      </w:pPr>
      <w:r>
        <w:t>(a) encuesta_APT_modelo.md: modelo de encuesta integral en formato Markdown.</w:t>
      </w:r>
    </w:p>
    <w:p>
      <w:pPr>
        <w:pStyle w:val="ListBullet"/>
        <w:keepLines w:val="1"/>
        <w:keepNext w:val="1"/>
        <w:widowControl w:val="1"/>
      </w:pPr>
      <w:r>
        <w:t>(b) guia_metodologica_APT.md: guía metodológica detallada para diseño muestral, escalas y cálculo de índices.</w:t>
      </w:r>
    </w:p>
    <w:p>
      <w:pPr>
        <w:pStyle w:val="ListBullet"/>
        <w:keepLines w:val="1"/>
        <w:keepNext w:val="1"/>
        <w:widowControl w:val="1"/>
      </w:pPr>
      <w:r>
        <w:t>(c) narrativa_explicativa_APT.md: narrativa explicativa para acompañar la encuesta en comunicaciones internas o estudios.</w:t>
      </w:r>
    </w:p>
    <w:p>
      <w:pPr>
        <w:pStyle w:val="ListBullet"/>
        <w:keepLines w:val="1"/>
        <w:keepNext w:val="1"/>
        <w:widowControl w:val="1"/>
      </w:pPr>
      <w:r>
        <w:t>(d) mapeo_preguntas_normativa_APT.md: tabla de mapeo de cada pregunta a requisitos normativos y marcos de referencia.</w:t>
      </w:r>
    </w:p>
    <w:p>
      <w:pPr>
        <w:pStyle w:val="ListBullet"/>
        <w:keepLines w:val="1"/>
        <w:keepNext w:val="1"/>
        <w:widowControl w:val="1"/>
      </w:pPr>
      <w:r>
        <w:t>(e) plantilla_excel_IGM_ROI_APT.md: instrucciones para implementar en Excel el cálculo de IGM y ROI.</w:t>
      </w:r>
    </w:p>
    <w:p>
      <w:pPr>
        <w:pStyle w:val="ListBullet"/>
        <w:keepLines w:val="1"/>
        <w:keepNext w:val="1"/>
        <w:widowControl w:val="1"/>
      </w:pPr>
      <w:r>
        <w:t>(f) plantilla_reporte_ejecutivo_PPT_APT.md: guía de estructura de presentación ejecutiva.</w:t>
      </w:r>
    </w:p>
    <w:p>
      <w:pPr>
        <w:pStyle w:val="ListBullet"/>
        <w:keepLines w:val="1"/>
        <w:widowControl w:val="1"/>
      </w:pPr>
      <w:r>
        <w:t>(g) README_kit_encuesta_APT.md: este documento.</w:t>
      </w:r>
    </w:p>
    <w:p>
      <w:pPr>
        <w:pStyle w:val="Heading2"/>
        <w:keepNext/>
        <w:keepLines/>
      </w:pPr>
      <w:r>
        <w:rPr>
          <w:color w:val="0066CC"/>
        </w:rPr>
        <w:t>2. Uso recomendado</w:t>
      </w:r>
    </w:p>
    <w:p>
      <w:pPr>
        <w:pStyle w:val="ListNumber"/>
        <w:keepLines w:val="1"/>
        <w:keepNext w:val="1"/>
        <w:widowControl w:val="1"/>
      </w:pPr>
      <w:r>
        <w:t>Adaptar el modelo de encuesta al contexto sectorial y terminología propia de la organización.</w:t>
      </w:r>
    </w:p>
    <w:p>
      <w:pPr>
        <w:pStyle w:val="ListNumber"/>
        <w:keepLines w:val="1"/>
        <w:keepNext w:val="1"/>
        <w:widowControl w:val="1"/>
      </w:pPr>
      <w:r>
        <w:t>Implementar la plantilla de Excel para captura de respuestas y cálculo de indicadores.</w:t>
      </w:r>
    </w:p>
    <w:p>
      <w:pPr>
        <w:pStyle w:val="ListNumber"/>
        <w:keepLines w:val="1"/>
        <w:keepNext w:val="1"/>
        <w:widowControl w:val="1"/>
      </w:pPr>
      <w:r>
        <w:t>Utilizar la guía metodológica para definir muestra, frecuencia de aplicación y análisis estadístico.</w:t>
      </w:r>
    </w:p>
    <w:p>
      <w:pPr>
        <w:pStyle w:val="ListNumber"/>
        <w:keepLines w:val="1"/>
        <w:keepNext w:val="1"/>
        <w:widowControl w:val="1"/>
      </w:pPr>
      <w:r>
        <w:t>Construir, a partir de la plantilla, un reporte ejecutivo para la alta dirección.</w:t>
      </w:r>
    </w:p>
    <w:p>
      <w:pPr>
        <w:pStyle w:val="ListNumber"/>
        <w:keepLines w:val="1"/>
        <w:widowControl w:val="1"/>
      </w:pPr>
      <w:r>
        <w:t>Mantener la narrativa explicativa como documento de acompañamiento para campañas de sensibilización y para contextualizar los resultados.</w:t>
      </w:r>
    </w:p>
    <w:p>
      <w:pPr>
        <w:pStyle w:val="Heading2"/>
        <w:keepNext/>
        <w:keepLines/>
      </w:pPr>
      <w:r>
        <w:rPr>
          <w:color w:val="0066CC"/>
        </w:rPr>
        <w:t>3. Licencia y créditos</w:t>
      </w:r>
    </w:p>
    <w:p>
      <w:pPr>
        <w:pStyle w:val="ListBullet"/>
        <w:keepLines w:val="1"/>
        <w:keepNext w:val="1"/>
        <w:widowControl w:val="1"/>
      </w:pPr>
      <w:r>
        <w:t>El kit se ofrece como base para proyectos de evaluación de madurez frente a APT. Puede ser adaptado, ampliado o reducido según las necesidades de cada organización.</w:t>
      </w:r>
    </w:p>
    <w:p>
      <w:pPr>
        <w:pStyle w:val="ListBullet"/>
        <w:keepLines w:val="1"/>
        <w:widowControl w:val="1"/>
      </w:pPr>
      <w:r>
        <w:t>Se recomienda conservar las referencias conceptuales a marcos reconocidos (NIS2, NIST CSF, ISO 27001, MITRE ATT&amp;CK, etc.) para facilitar el alineamiento con normativas y buenas prácticas.</w:t>
      </w:r>
    </w:p>
    <w:p>
      <w:pPr>
        <w:pStyle w:val="Heading2"/>
        <w:keepNext/>
        <w:keepLines/>
      </w:pPr>
      <w:r>
        <w:rPr>
          <w:color w:val="0066CC"/>
        </w:rPr>
        <w:t>4. Personalización avanzada</w:t>
      </w:r>
    </w:p>
    <w:p>
      <w:pPr>
        <w:pStyle w:val="ListBullet"/>
        <w:keepLines w:val="1"/>
        <w:keepNext w:val="1"/>
        <w:widowControl w:val="1"/>
      </w:pPr>
      <w:r>
        <w:t>Añadir módulos específicos por sector (sanidad, financiero, industrial, administración pública) introduciendo nuevas preguntas en los bloques ya definidos.</w:t>
      </w:r>
    </w:p>
    <w:p>
      <w:pPr>
        <w:pStyle w:val="ListBullet"/>
        <w:keepLines w:val="1"/>
        <w:keepNext w:val="1"/>
        <w:widowControl w:val="1"/>
      </w:pPr>
      <w:r>
        <w:t>Incluir referencias adicionales a marcos regulatorios sectoriales (DORA, NERC‑CIP, PCI DSS, ENS por categoría, etc.).</w:t>
      </w:r>
    </w:p>
    <w:p>
      <w:pPr>
        <w:pStyle w:val="ListBullet"/>
        <w:keepLines w:val="1"/>
        <w:widowControl w:val="1"/>
      </w:pPr>
      <w:r>
        <w:t>Integrar los resultados de la encuesta con herramientas de BI para análisis avanzado.</w:t>
      </w:r>
    </w:p>
    <w:p>
      <w:pPr>
        <w:pStyle w:val="Heading2"/>
        <w:keepNext/>
        <w:keepLines/>
      </w:pPr>
      <w:r>
        <w:rPr>
          <w:color w:val="0066CC"/>
        </w:rPr>
        <w:t>5. Próximos pasos sugeridos</w:t>
      </w:r>
    </w:p>
    <w:p>
      <w:pPr>
        <w:pStyle w:val="ListBullet"/>
        <w:keepLines w:val="1"/>
        <w:keepNext w:val="1"/>
        <w:widowControl w:val="1"/>
      </w:pPr>
      <w:r>
        <w:t>Definir una periodicidad (por ejemplo, anual) para replicar la encuesta y comparar resultados.</w:t>
      </w:r>
    </w:p>
    <w:p>
      <w:pPr>
        <w:pStyle w:val="ListBullet"/>
        <w:keepLines w:val="1"/>
        <w:keepNext w:val="1"/>
        <w:widowControl w:val="1"/>
      </w:pPr>
      <w:r>
        <w:t>Establecer objetivos de mejora (por bloque) y monitorizar la evolución del IGM.</w:t>
      </w:r>
    </w:p>
    <w:p>
      <w:pPr>
        <w:pStyle w:val="ListBullet"/>
        <w:keepLines w:val="1"/>
        <w:widowControl w:val="1"/>
      </w:pPr>
      <w:r>
        <w:t>Incorporar los resultados en el cuadro de mando de ciberseguridad de la organización.</w:t>
      </w:r>
    </w:p>
    <w:p>
      <w:r>
        <w:t>El kit nace para ser usado, versionado y discutido. Si genera conversación (y algún que otro presupuesto aprobado), habrá cumplido dignamente su misión.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