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(a) Modelo de Encuesta Integral sobre Amenazas Persistentes Avanzadas (APT) y Resiliencia Cibernética</w:t>
      </w:r>
    </w:p>
    <w:p>
      <w:pPr>
        <w:pStyle w:val="Heading2"/>
        <w:keepNext/>
        <w:keepLines/>
      </w:pPr>
      <w:r>
        <w:rPr>
          <w:color w:val="0066CC"/>
        </w:rPr>
        <w:t>Instrucciones generales para la persona encuestada</w:t>
      </w:r>
    </w:p>
    <w:p>
      <w:r>
        <w:t>Esta encuesta está dirigida a responsables de ciberseguridad, riesgo, tecnología o continuidad de negocio de organizaciones con actividad en España.</w:t>
      </w:r>
    </w:p>
    <w:p>
      <w:pPr>
        <w:pStyle w:val="ListBullet"/>
        <w:keepLines w:val="1"/>
        <w:keepNext w:val="1"/>
        <w:widowControl w:val="1"/>
      </w:pPr>
      <w:r>
        <w:t>El objetivo es medir el grado de exposición, preparación y madurez frente a Amenazas Persistentes Avanzadas (APT), así como la aplicación de métricas e indicadores clave.</w:t>
      </w:r>
    </w:p>
    <w:p>
      <w:pPr>
        <w:pStyle w:val="ListBullet"/>
        <w:keepLines w:val="1"/>
        <w:keepNext w:val="1"/>
        <w:widowControl w:val="1"/>
      </w:pPr>
      <w:r>
        <w:t>No se solicitan datos personales de empleados; la unidad de análisis es la organización.</w:t>
      </w:r>
    </w:p>
    <w:p>
      <w:pPr>
        <w:pStyle w:val="ListBullet"/>
        <w:keepLines w:val="1"/>
        <w:keepNext w:val="1"/>
        <w:widowControl w:val="1"/>
      </w:pPr>
      <w:r>
        <w:t>Cuando una pregunta no aplique a su organización, seleccione "No aplica" y, si procede, añada un breve comentario explicativo.</w:t>
      </w:r>
    </w:p>
    <w:p>
      <w:pPr>
        <w:pStyle w:val="ListBullet"/>
        <w:keepLines w:val="1"/>
        <w:widowControl w:val="1"/>
      </w:pPr>
      <w:r>
        <w:t>El tono es serio pero no solemne: se permite algún destello de ironía siempre que no perjudique la veracidad de las respuestas.</w:t>
      </w:r>
    </w:p>
    <w:p>
      <w:r>
        <w:t>Por favor, responda pensando en la situación actual (últimos 12 meses).</w:t>
      </w:r>
    </w:p>
    <w:p>
      <w:pPr>
        <w:pStyle w:val="Heading2"/>
        <w:keepNext/>
        <w:keepLines/>
      </w:pPr>
      <w:r>
        <w:rPr>
          <w:color w:val="0066CC"/>
        </w:rPr>
        <w:t>Bloque 1. Perfil de la organización</w:t>
      </w:r>
    </w:p>
    <w:p>
      <w:pPr>
        <w:pStyle w:val="ListNumber"/>
        <w:keepLines w:val="1"/>
        <w:keepNext w:val="1"/>
        <w:widowControl w:val="1"/>
      </w:pPr>
      <w:r>
        <w:t>Tipo de organización</w:t>
      </w:r>
    </w:p>
    <w:p>
      <w:pPr>
        <w:pStyle w:val="ListNumber"/>
        <w:keepLines w:val="1"/>
        <w:keepNext w:val="1"/>
        <w:widowControl w:val="1"/>
      </w:pPr>
      <w:r>
        <w:t>[ ] Administración pública (AGE, autonómica, local)</w:t>
      </w:r>
    </w:p>
    <w:p>
      <w:pPr>
        <w:pStyle w:val="ListNumber"/>
        <w:keepLines w:val="1"/>
        <w:keepNext w:val="1"/>
        <w:widowControl w:val="1"/>
      </w:pPr>
      <w:r>
        <w:t>[ ] Empresa privada – gran empresa (&gt;250 empleados)</w:t>
      </w:r>
    </w:p>
    <w:p>
      <w:pPr>
        <w:pStyle w:val="ListNumber"/>
        <w:keepLines w:val="1"/>
        <w:keepNext w:val="1"/>
        <w:widowControl w:val="1"/>
      </w:pPr>
      <w:r>
        <w:t>[ ] Empresa privada – pyme (10–249 empleados)</w:t>
      </w:r>
    </w:p>
    <w:p>
      <w:pPr>
        <w:pStyle w:val="ListNumber"/>
        <w:keepLines w:val="1"/>
        <w:keepNext w:val="1"/>
        <w:widowControl w:val="1"/>
      </w:pPr>
      <w:r>
        <w:t>[ ] Microempresa (&lt;10 empleados)</w:t>
      </w:r>
    </w:p>
    <w:p>
      <w:pPr>
        <w:pStyle w:val="ListNumber"/>
        <w:keepLines w:val="1"/>
        <w:keepNext w:val="1"/>
        <w:widowControl w:val="1"/>
      </w:pPr>
      <w:r>
        <w:t>[ ] Entidad del tercer sector / fundación</w:t>
      </w:r>
    </w:p>
    <w:p>
      <w:pPr>
        <w:pStyle w:val="ListNumber"/>
        <w:keepLines w:val="1"/>
        <w:keepNext w:val="1"/>
        <w:widowControl w:val="1"/>
      </w:pPr>
      <w:r>
        <w:br/>
        <w:t>[ ] Otro (especificar): ______</w:t>
        <w:br/>
      </w:r>
    </w:p>
    <w:p>
      <w:pPr>
        <w:pStyle w:val="ListNumber"/>
        <w:keepLines w:val="1"/>
        <w:keepNext w:val="1"/>
        <w:widowControl w:val="1"/>
      </w:pPr>
      <w:r>
        <w:br/>
        <w:t>Sector principal de actividad (marque el más relevante)</w:t>
        <w:br/>
      </w:r>
    </w:p>
    <w:p>
      <w:pPr>
        <w:pStyle w:val="ListNumber"/>
        <w:keepLines w:val="1"/>
        <w:keepNext w:val="1"/>
        <w:widowControl w:val="1"/>
      </w:pPr>
      <w:r>
        <w:t>[ ] Energía</w:t>
      </w:r>
    </w:p>
    <w:p>
      <w:pPr>
        <w:pStyle w:val="ListNumber"/>
        <w:keepLines w:val="1"/>
        <w:keepNext w:val="1"/>
        <w:widowControl w:val="1"/>
      </w:pPr>
      <w:r>
        <w:t>[ ] Agua</w:t>
      </w:r>
    </w:p>
    <w:p>
      <w:pPr>
        <w:pStyle w:val="ListNumber"/>
        <w:keepLines w:val="1"/>
        <w:keepNext w:val="1"/>
        <w:widowControl w:val="1"/>
      </w:pPr>
      <w:r>
        <w:t>[ ] Transporte</w:t>
      </w:r>
    </w:p>
    <w:p>
      <w:pPr>
        <w:pStyle w:val="ListNumber"/>
        <w:keepLines w:val="1"/>
        <w:keepNext w:val="1"/>
        <w:widowControl w:val="1"/>
      </w:pPr>
      <w:r>
        <w:t>[ ] Sanidad</w:t>
      </w:r>
    </w:p>
    <w:p>
      <w:pPr>
        <w:pStyle w:val="ListNumber"/>
        <w:keepLines w:val="1"/>
        <w:keepNext w:val="1"/>
        <w:widowControl w:val="1"/>
      </w:pPr>
      <w:r>
        <w:t>[ ] Finanzas / Seguros</w:t>
      </w:r>
    </w:p>
    <w:p>
      <w:pPr>
        <w:pStyle w:val="ListNumber"/>
        <w:keepLines w:val="1"/>
        <w:keepNext w:val="1"/>
        <w:widowControl w:val="1"/>
      </w:pPr>
      <w:r>
        <w:t>[ ] TIC / Telecomunicaciones</w:t>
      </w:r>
    </w:p>
    <w:p>
      <w:pPr>
        <w:pStyle w:val="ListNumber"/>
        <w:keepLines w:val="1"/>
        <w:keepNext w:val="1"/>
        <w:widowControl w:val="1"/>
      </w:pPr>
      <w:r>
        <w:t>[ ] Industria / Manufactura</w:t>
      </w:r>
    </w:p>
    <w:p>
      <w:pPr>
        <w:pStyle w:val="ListNumber"/>
        <w:keepLines w:val="1"/>
        <w:keepNext w:val="1"/>
        <w:widowControl w:val="1"/>
      </w:pPr>
      <w:r>
        <w:t>[ ] Educación / Investigación</w:t>
      </w:r>
    </w:p>
    <w:p>
      <w:pPr>
        <w:pStyle w:val="ListNumber"/>
        <w:keepLines w:val="1"/>
        <w:keepNext w:val="1"/>
        <w:widowControl w:val="1"/>
      </w:pPr>
      <w:r>
        <w:t>[ ] Administración pública</w:t>
      </w:r>
    </w:p>
    <w:p>
      <w:pPr>
        <w:pStyle w:val="ListNumber"/>
        <w:keepLines w:val="1"/>
        <w:keepNext w:val="1"/>
        <w:widowControl w:val="1"/>
      </w:pPr>
      <w:r>
        <w:t>[ ] Comercio / Distribución</w:t>
      </w:r>
    </w:p>
    <w:p>
      <w:pPr>
        <w:pStyle w:val="ListNumber"/>
        <w:keepLines w:val="1"/>
        <w:keepNext w:val="1"/>
        <w:widowControl w:val="1"/>
      </w:pPr>
      <w:r>
        <w:br/>
        <w:t>[ ] Otro (especificar): ______</w:t>
        <w:br/>
      </w:r>
    </w:p>
    <w:p>
      <w:pPr>
        <w:pStyle w:val="ListNumber"/>
        <w:keepLines w:val="1"/>
        <w:keepNext w:val="1"/>
        <w:widowControl w:val="1"/>
      </w:pPr>
      <w:r>
        <w:br/>
        <w:t>Ámbito geográfico de operación</w:t>
        <w:br/>
      </w:r>
    </w:p>
    <w:p>
      <w:pPr>
        <w:pStyle w:val="ListNumber"/>
        <w:keepLines w:val="1"/>
        <w:keepNext w:val="1"/>
        <w:widowControl w:val="1"/>
      </w:pPr>
      <w:r>
        <w:t>[ ] Predominantemente local / regional (dentro de una CCAA)</w:t>
      </w:r>
    </w:p>
    <w:p>
      <w:pPr>
        <w:pStyle w:val="ListNumber"/>
        <w:keepLines w:val="1"/>
        <w:keepNext w:val="1"/>
        <w:widowControl w:val="1"/>
      </w:pPr>
      <w:r>
        <w:t>[ ] Nacional (España)</w:t>
      </w:r>
    </w:p>
    <w:p>
      <w:pPr>
        <w:pStyle w:val="ListNumber"/>
        <w:keepLines w:val="1"/>
        <w:keepNext w:val="1"/>
        <w:widowControl w:val="1"/>
      </w:pPr>
      <w:r>
        <w:t>[ ] UE / EEE</w:t>
      </w:r>
    </w:p>
    <w:p>
      <w:pPr>
        <w:pStyle w:val="ListNumber"/>
        <w:keepLines w:val="1"/>
        <w:keepNext w:val="1"/>
        <w:widowControl w:val="1"/>
      </w:pPr>
      <w:r>
        <w:br/>
        <w:t>[ ] Global (varios continentes)</w:t>
        <w:br/>
      </w:r>
    </w:p>
    <w:p>
      <w:pPr>
        <w:pStyle w:val="ListNumber"/>
        <w:keepLines w:val="1"/>
        <w:keepNext w:val="1"/>
        <w:widowControl w:val="1"/>
      </w:pPr>
      <w:r>
        <w:br/>
        <w:t>Tamaño aproximado de la plantilla</w:t>
        <w:br/>
      </w:r>
    </w:p>
    <w:p>
      <w:pPr>
        <w:pStyle w:val="ListNumber"/>
        <w:keepLines w:val="1"/>
        <w:keepNext w:val="1"/>
        <w:widowControl w:val="1"/>
      </w:pPr>
      <w:r>
        <w:t>[ ] &lt; 50</w:t>
      </w:r>
    </w:p>
    <w:p>
      <w:pPr>
        <w:pStyle w:val="ListNumber"/>
        <w:keepLines w:val="1"/>
        <w:keepNext w:val="1"/>
        <w:widowControl w:val="1"/>
      </w:pPr>
      <w:r>
        <w:t>[ ] 50–249</w:t>
      </w:r>
    </w:p>
    <w:p>
      <w:pPr>
        <w:pStyle w:val="ListNumber"/>
        <w:keepLines w:val="1"/>
        <w:keepNext w:val="1"/>
        <w:widowControl w:val="1"/>
      </w:pPr>
      <w:r>
        <w:t>[ ] 250–999</w:t>
      </w:r>
    </w:p>
    <w:p>
      <w:pPr>
        <w:pStyle w:val="ListNumber"/>
        <w:keepLines w:val="1"/>
        <w:keepNext w:val="1"/>
        <w:widowControl w:val="1"/>
      </w:pPr>
      <w:r>
        <w:t>[ ] 1 000–4 999</w:t>
      </w:r>
    </w:p>
    <w:p>
      <w:pPr>
        <w:pStyle w:val="ListNumber"/>
        <w:keepLines w:val="1"/>
        <w:keepNext w:val="1"/>
        <w:widowControl w:val="1"/>
      </w:pPr>
      <w:r>
        <w:br/>
        <w:t>[ ] ≥ 5 000</w:t>
        <w:br/>
      </w:r>
    </w:p>
    <w:p>
      <w:pPr>
        <w:pStyle w:val="ListNumber"/>
        <w:keepLines w:val="1"/>
        <w:keepNext w:val="1"/>
        <w:widowControl w:val="1"/>
      </w:pPr>
      <w:r>
        <w:br/>
        <w:t>Figura responsable máxima de ciberseguridad en la organización</w:t>
        <w:br/>
      </w:r>
    </w:p>
    <w:p>
      <w:pPr>
        <w:pStyle w:val="ListNumber"/>
        <w:keepLines w:val="1"/>
        <w:keepNext w:val="1"/>
        <w:widowControl w:val="1"/>
      </w:pPr>
      <w:r>
        <w:t>[ ] CISO / Responsable de Seguridad de la Información</w:t>
      </w:r>
    </w:p>
    <w:p>
      <w:pPr>
        <w:pStyle w:val="ListNumber"/>
        <w:keepLines w:val="1"/>
        <w:keepNext w:val="1"/>
        <w:widowControl w:val="1"/>
      </w:pPr>
      <w:r>
        <w:t>[ ] Responsable de TI sin rol específico de seguridad</w:t>
      </w:r>
    </w:p>
    <w:p>
      <w:pPr>
        <w:pStyle w:val="ListNumber"/>
        <w:keepLines w:val="1"/>
        <w:keepNext w:val="1"/>
        <w:widowControl w:val="1"/>
      </w:pPr>
      <w:r>
        <w:t>[ ] Responsable de Riesgos / Cumplimiento</w:t>
      </w:r>
    </w:p>
    <w:p>
      <w:pPr>
        <w:pStyle w:val="ListNumber"/>
        <w:keepLines w:val="1"/>
        <w:keepNext w:val="1"/>
        <w:widowControl w:val="1"/>
      </w:pPr>
      <w:r>
        <w:t>[ ] No existe un responsable claramente identificado</w:t>
      </w:r>
    </w:p>
    <w:p>
      <w:pPr>
        <w:pStyle w:val="ListNumber"/>
        <w:keepLines w:val="1"/>
        <w:widowControl w:val="1"/>
      </w:pPr>
      <w:r>
        <w:t>[ ] Otro (especificar): ______</w:t>
      </w:r>
    </w:p>
    <w:p>
      <w:r>
        <w:t xml:space="preserve">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Sector principal de actividad</w:t>
      </w:r>
      <w:r>
        <w:t xml:space="preserve"> (marque el más relevante)</w:t>
      </w:r>
    </w:p>
    <w:p>
      <w:r>
        <w:t xml:space="preserve">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Ámbito geográfico de operación</w:t>
      </w:r>
    </w:p>
    <w:p>
      <w:r>
        <w:t>[ ] Global (varios continentes)</w:t>
      </w:r>
    </w:p>
    <w:p>
      <w:r>
        <w:rPr>
          <w:b/>
        </w:rPr>
        <w:t>Tamaño aproximado de la plantilla</w:t>
      </w:r>
    </w:p>
    <w:p>
      <w:r>
        <w:t>[ ] ≥ 5 000</w:t>
      </w:r>
    </w:p>
    <w:p>
      <w:r>
        <w:rPr>
          <w:b/>
        </w:rPr>
        <w:t>Figura responsable máxima de ciberseguridad en la organización</w:t>
      </w:r>
    </w:p>
    <w:p>
      <w:pPr>
        <w:pStyle w:val="Heading2"/>
        <w:keepNext/>
        <w:keepLines/>
      </w:pPr>
      <w:r>
        <w:rPr>
          <w:color w:val="0066CC"/>
        </w:rPr>
        <w:t>Bloque 2. Gobernanza, estrategia y marco normativo</w:t>
      </w:r>
    </w:p>
    <w:p>
      <w:pPr>
        <w:pStyle w:val="ListNumber"/>
        <w:keepLines w:val="1"/>
        <w:keepNext w:val="1"/>
        <w:widowControl w:val="1"/>
      </w:pPr>
      <w:r>
        <w:t>Existencia de una estrategia formal de ciberseguridad que incluya explícitamente las APT</w:t>
      </w:r>
    </w:p>
    <w:p>
      <w:pPr>
        <w:pStyle w:val="ListNumber"/>
        <w:keepLines w:val="1"/>
        <w:keepNext w:val="1"/>
        <w:widowControl w:val="1"/>
      </w:pPr>
      <w:r>
        <w:t>[ ] Sí, aprobada por el máximo órgano de gobierno (Consejo, Comité de Dirección, etc.)</w:t>
      </w:r>
    </w:p>
    <w:p>
      <w:pPr>
        <w:pStyle w:val="ListNumber"/>
        <w:keepLines w:val="1"/>
        <w:keepNext w:val="1"/>
        <w:widowControl w:val="1"/>
      </w:pPr>
      <w:r>
        <w:t>[ ] Sí, pero aprobada solo a nivel de dirección intermedia</w:t>
      </w:r>
    </w:p>
    <w:p>
      <w:pPr>
        <w:pStyle w:val="ListNumber"/>
        <w:keepLines w:val="1"/>
        <w:keepNext w:val="1"/>
        <w:widowControl w:val="1"/>
      </w:pPr>
      <w:r>
        <w:t>[ ] En elaboración, prevista aprobación en los próximos 12 meses</w:t>
      </w:r>
    </w:p>
    <w:p>
      <w:pPr>
        <w:pStyle w:val="ListNumber"/>
        <w:keepLines w:val="1"/>
        <w:keepNext w:val="1"/>
        <w:widowControl w:val="1"/>
      </w:pPr>
      <w:r>
        <w:t>[ ] No, pero se aplican prácticas dispersas sin documento formal</w:t>
      </w:r>
    </w:p>
    <w:p>
      <w:pPr>
        <w:pStyle w:val="ListNumber"/>
        <w:keepLines w:val="1"/>
        <w:keepNext w:val="1"/>
        <w:widowControl w:val="1"/>
      </w:pPr>
      <w:r>
        <w:br/>
        <w:t>[ ] No existe ni se prevé a corto plazo</w:t>
        <w:br/>
      </w:r>
    </w:p>
    <w:p>
      <w:pPr>
        <w:pStyle w:val="ListNumber"/>
        <w:keepLines w:val="1"/>
        <w:keepNext w:val="1"/>
        <w:widowControl w:val="1"/>
      </w:pPr>
      <w:r>
        <w:br/>
        <w:t>Alineamiento de la estrategia de ciberseguridad con marcos de referencia reconocidos (puede marcar varias)</w:t>
        <w:br/>
      </w:r>
    </w:p>
    <w:p>
      <w:pPr>
        <w:pStyle w:val="ListNumber"/>
        <w:keepLines w:val="1"/>
        <w:keepNext w:val="1"/>
        <w:widowControl w:val="1"/>
      </w:pPr>
      <w:r>
        <w:t>[ ] NIST CSF 2.0</w:t>
      </w:r>
    </w:p>
    <w:p>
      <w:pPr>
        <w:pStyle w:val="ListNumber"/>
        <w:keepLines w:val="1"/>
        <w:keepNext w:val="1"/>
        <w:widowControl w:val="1"/>
      </w:pPr>
      <w:r>
        <w:t>[ ] ISO/IEC 27001</w:t>
      </w:r>
    </w:p>
    <w:p>
      <w:pPr>
        <w:pStyle w:val="ListNumber"/>
        <w:keepLines w:val="1"/>
        <w:keepNext w:val="1"/>
        <w:widowControl w:val="1"/>
      </w:pPr>
      <w:r>
        <w:t>[ ] ISO/IEC 27035 (gestión de incidentes)</w:t>
      </w:r>
    </w:p>
    <w:p>
      <w:pPr>
        <w:pStyle w:val="ListNumber"/>
        <w:keepLines w:val="1"/>
        <w:keepNext w:val="1"/>
        <w:widowControl w:val="1"/>
      </w:pPr>
      <w:r>
        <w:t>[ ] MITRE ATT&amp;CK (para modelado de amenazas / detección)</w:t>
      </w:r>
    </w:p>
    <w:p>
      <w:pPr>
        <w:pStyle w:val="ListNumber"/>
        <w:keepLines w:val="1"/>
        <w:keepNext w:val="1"/>
        <w:widowControl w:val="1"/>
      </w:pPr>
      <w:r>
        <w:t>[ ] ENISA / NIS2 (directiva y guías asociadas)</w:t>
      </w:r>
    </w:p>
    <w:p>
      <w:pPr>
        <w:pStyle w:val="ListNumber"/>
        <w:keepLines w:val="1"/>
        <w:keepNext w:val="1"/>
        <w:widowControl w:val="1"/>
      </w:pPr>
      <w:r>
        <w:t>[ ] CCN‑STIC (para organismos del sector público español)</w:t>
      </w:r>
    </w:p>
    <w:p>
      <w:pPr>
        <w:pStyle w:val="ListNumber"/>
        <w:keepLines w:val="1"/>
        <w:keepNext w:val="1"/>
        <w:widowControl w:val="1"/>
      </w:pPr>
      <w:r>
        <w:t>[ ] Otro (especificar): ______</w:t>
      </w:r>
    </w:p>
    <w:p>
      <w:pPr>
        <w:pStyle w:val="ListNumber"/>
        <w:keepLines w:val="1"/>
        <w:keepNext w:val="1"/>
        <w:widowControl w:val="1"/>
      </w:pPr>
      <w:r>
        <w:br/>
        <w:t>[ ] Ninguno de los anteriores</w:t>
        <w:br/>
      </w:r>
    </w:p>
    <w:p>
      <w:pPr>
        <w:pStyle w:val="ListNumber"/>
        <w:keepLines w:val="1"/>
        <w:keepNext w:val="1"/>
        <w:widowControl w:val="1"/>
      </w:pPr>
      <w:r>
        <w:br/>
        <w:t>Estado de cumplimiento respecto a NIS2 (si aplica)</w:t>
        <w:br/>
      </w:r>
    </w:p>
    <w:p>
      <w:pPr>
        <w:pStyle w:val="ListNumber"/>
        <w:keepLines w:val="1"/>
        <w:keepNext w:val="1"/>
        <w:widowControl w:val="1"/>
      </w:pPr>
      <w:r>
        <w:t>[ ] Completamente alineados (controles desplegados y operativos)</w:t>
      </w:r>
    </w:p>
    <w:p>
      <w:pPr>
        <w:pStyle w:val="ListNumber"/>
        <w:keepLines w:val="1"/>
        <w:keepNext w:val="1"/>
        <w:widowControl w:val="1"/>
      </w:pPr>
      <w:r>
        <w:t>[ ] Parcialmente alineados; existen brechas identificadas y planificadas</w:t>
      </w:r>
    </w:p>
    <w:p>
      <w:pPr>
        <w:pStyle w:val="ListNumber"/>
        <w:keepLines w:val="1"/>
        <w:keepNext w:val="1"/>
        <w:widowControl w:val="1"/>
      </w:pPr>
      <w:r>
        <w:t>[ ] En fase inicial de análisis de brechas</w:t>
      </w:r>
    </w:p>
    <w:p>
      <w:pPr>
        <w:pStyle w:val="ListNumber"/>
        <w:keepLines w:val="1"/>
        <w:keepNext w:val="1"/>
        <w:widowControl w:val="1"/>
      </w:pPr>
      <w:r>
        <w:t>[ ] No aplica (la organización no se considera entidad esencial o importante)</w:t>
      </w:r>
    </w:p>
    <w:p>
      <w:pPr>
        <w:pStyle w:val="ListNumber"/>
        <w:keepLines w:val="1"/>
        <w:keepNext w:val="1"/>
        <w:widowControl w:val="1"/>
      </w:pPr>
      <w:r>
        <w:br/>
        <w:t>[ ] No se ha evaluado la aplicabilidad de NIS2</w:t>
        <w:br/>
      </w:r>
    </w:p>
    <w:p>
      <w:pPr>
        <w:pStyle w:val="ListNumber"/>
        <w:keepLines w:val="1"/>
        <w:keepNext w:val="1"/>
        <w:widowControl w:val="1"/>
      </w:pPr>
      <w:r>
        <w:br/>
        <w:t>Periodicidad de revisión de la estrategia y políticas de ciberseguridad</w:t>
        <w:br/>
      </w:r>
    </w:p>
    <w:p>
      <w:pPr>
        <w:pStyle w:val="ListNumber"/>
        <w:keepLines w:val="1"/>
        <w:keepNext w:val="1"/>
        <w:widowControl w:val="1"/>
      </w:pPr>
      <w:r>
        <w:t>[ ] Al menos anual, con reporte al máximo órgano de gobierno</w:t>
      </w:r>
    </w:p>
    <w:p>
      <w:pPr>
        <w:pStyle w:val="ListNumber"/>
        <w:keepLines w:val="1"/>
        <w:keepNext w:val="1"/>
        <w:widowControl w:val="1"/>
      </w:pPr>
      <w:r>
        <w:t>[ ] Cada 2–3 años</w:t>
      </w:r>
    </w:p>
    <w:p>
      <w:pPr>
        <w:pStyle w:val="ListNumber"/>
        <w:keepLines w:val="1"/>
        <w:keepNext w:val="1"/>
        <w:widowControl w:val="1"/>
      </w:pPr>
      <w:r>
        <w:t>[ ] Solo tras un incidente relevante</w:t>
      </w:r>
    </w:p>
    <w:p>
      <w:pPr>
        <w:pStyle w:val="ListNumber"/>
        <w:keepLines w:val="1"/>
        <w:keepNext w:val="1"/>
        <w:widowControl w:val="1"/>
      </w:pPr>
      <w:r>
        <w:t>[ ] Sin periodicidad definida (ad hoc)</w:t>
      </w:r>
    </w:p>
    <w:p>
      <w:pPr>
        <w:pStyle w:val="ListNumber"/>
        <w:keepLines w:val="1"/>
        <w:keepNext w:val="1"/>
        <w:widowControl w:val="1"/>
      </w:pPr>
      <w:r>
        <w:br/>
        <w:t>[ ] No se revisan formalmente</w:t>
        <w:br/>
      </w:r>
    </w:p>
    <w:p>
      <w:pPr>
        <w:pStyle w:val="ListNumber"/>
        <w:keepLines w:val="1"/>
        <w:widowControl w:val="1"/>
      </w:pPr>
      <w:r>
        <w:br/>
        <w:t>Participación del Consejo de Administración / Alta Dirección en la supervisión de la ciberseguridad</w:t>
        <w:br/>
        <w:br/>
        <w:t>[ ] Ciberseguridad es un punto recurrente en el Consejo (≥4 veces al año)</w:t>
        <w:br/>
        <w:t>[ ] Se informa al Consejo 1–3 veces al año</w:t>
        <w:br/>
        <w:t>[ ] Solo se informa al Consejo tras incidentes graves</w:t>
        <w:br/>
        <w:t>[ ] No se presenta información de ciberseguridad al Consejo</w:t>
        <w:br/>
        <w:t>[ ] No aplica (no existe Consejo / órgano equivalente)</w:t>
        <w:br/>
        <w:br/>
      </w:r>
    </w:p>
    <w:p>
      <w:r>
        <w:t>[ ] No existe ni se prevé a corto plazo</w:t>
      </w:r>
    </w:p>
    <w:p>
      <w:r>
        <w:rPr>
          <w:b/>
        </w:rPr>
        <w:t>Alineamiento de la estrategia de ciberseguridad con marcos de referencia reconocidos</w:t>
      </w:r>
      <w:r>
        <w:t xml:space="preserve"> (puede marcar varias)</w:t>
      </w:r>
    </w:p>
    <w:p>
      <w:r>
        <w:t>[ ] Ninguno de los anteriores</w:t>
      </w:r>
    </w:p>
    <w:p>
      <w:r>
        <w:rPr>
          <w:b/>
        </w:rPr>
        <w:t>Estado de cumplimiento respecto a NIS2 (si aplica)</w:t>
      </w:r>
    </w:p>
    <w:p>
      <w:r>
        <w:t>[ ] No se ha evaluado la aplicabilidad de NIS2</w:t>
      </w:r>
    </w:p>
    <w:p>
      <w:r>
        <w:rPr>
          <w:b/>
        </w:rPr>
        <w:t>Periodicidad de revisión de la estrategia y políticas de ciberseguridad</w:t>
      </w:r>
    </w:p>
    <w:p>
      <w:r>
        <w:t>[ ] No se revisan formalmente</w:t>
      </w:r>
    </w:p>
    <w:p>
      <w:r>
        <w:rPr>
          <w:b/>
        </w:rPr>
        <w:t>Participación del Consejo de Administración / Alta Dirección en la supervisión de la ciberseguridad</w:t>
      </w:r>
    </w:p>
    <w:p>
      <w:pPr>
        <w:pStyle w:val="ListBullet"/>
        <w:keepLines w:val="1"/>
        <w:keepNext w:val="1"/>
        <w:widowControl w:val="1"/>
      </w:pPr>
      <w:r>
        <w:t>[ ] Ciberseguridad es un punto recurrente en el Consejo (≥4 veces al año)</w:t>
      </w:r>
    </w:p>
    <w:p>
      <w:pPr>
        <w:pStyle w:val="ListBullet"/>
        <w:keepLines w:val="1"/>
        <w:keepNext w:val="1"/>
        <w:widowControl w:val="1"/>
      </w:pPr>
      <w:r>
        <w:t>[ ] Se informa al Consejo 1–3 veces al año</w:t>
      </w:r>
    </w:p>
    <w:p>
      <w:pPr>
        <w:pStyle w:val="ListBullet"/>
        <w:keepLines w:val="1"/>
        <w:keepNext w:val="1"/>
        <w:widowControl w:val="1"/>
      </w:pPr>
      <w:r>
        <w:t>[ ] Solo se informa al Consejo tras incidentes graves</w:t>
      </w:r>
    </w:p>
    <w:p>
      <w:pPr>
        <w:pStyle w:val="ListBullet"/>
        <w:keepLines w:val="1"/>
        <w:keepNext w:val="1"/>
        <w:widowControl w:val="1"/>
      </w:pPr>
      <w:r>
        <w:t>[ ] No se presenta información de ciberseguridad al Consejo</w:t>
      </w:r>
    </w:p>
    <w:p>
      <w:pPr>
        <w:pStyle w:val="ListBullet"/>
        <w:keepLines w:val="1"/>
        <w:widowControl w:val="1"/>
      </w:pPr>
      <w:r>
        <w:t>[ ] No aplica (no existe Consejo / órgano equivalente)</w:t>
      </w:r>
    </w:p>
    <w:p>
      <w:pPr>
        <w:pStyle w:val="Heading2"/>
        <w:keepNext/>
        <w:keepLines/>
      </w:pPr>
      <w:r>
        <w:rPr>
          <w:color w:val="0066CC"/>
        </w:rPr>
        <w:t>Bloque 3. Gestión del riesgo APT y métricas estratégicas</w:t>
      </w:r>
    </w:p>
    <w:p>
      <w:pPr>
        <w:pStyle w:val="ListNumber"/>
        <w:keepLines w:val="1"/>
        <w:keepNext w:val="1"/>
        <w:widowControl w:val="1"/>
      </w:pPr>
      <w:r>
        <w:br/>
        <w:t>La organización dispone de un mapa de riesgos que incluye explícitamente las APT como categoría de riesgo diferenciada</w:t>
        <w:br/>
        <w:br/>
        <w:t>[ ] Sí, con descripción de escenarios, impacto y probabilidad</w:t>
        <w:br/>
        <w:t>[ ] Sí, pero las APT están diluidas dentro de “ciberataques” genéricos</w:t>
        <w:br/>
        <w:t>[ ] En elaboración</w:t>
        <w:br/>
        <w:t>[ ] No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Frecuencia de actualización del análisis de riesgo de ciberseguridad</w:t>
        <w:br/>
        <w:br/>
        <w:t>[ ] Al menos anual</w:t>
        <w:br/>
        <w:t>[ ] Cada 2–3 años</w:t>
        <w:br/>
        <w:t>[ ] Solo tras cambios significativos (fusiones, adquisiciones, nuevas líneas de negocio)</w:t>
        <w:br/>
        <w:t>[ ] Solo tras incidentes relevantes</w:t>
        <w:br/>
        <w:t>[ ] No se actualiza de forma sistemática</w:t>
        <w:br/>
        <w:br/>
      </w:r>
    </w:p>
    <w:p>
      <w:pPr>
        <w:pStyle w:val="ListNumber"/>
        <w:keepLines w:val="1"/>
        <w:widowControl w:val="1"/>
      </w:pPr>
      <w:r>
        <w:br/>
        <w:t>Uso de métricas clave para monitorizar el riesgo APT</w:t>
        <w:br/>
      </w:r>
    </w:p>
    <w:p>
      <w:r>
        <w:rPr>
          <w:b/>
        </w:rPr>
        <w:t>La organización dispone de un mapa de riesgos que incluye explícitamente las APT como categoría de riesgo diferenciada</w:t>
      </w:r>
    </w:p>
    <w:p>
      <w:pPr>
        <w:pStyle w:val="ListBullet"/>
        <w:keepLines w:val="1"/>
        <w:keepNext w:val="1"/>
        <w:widowControl w:val="1"/>
      </w:pPr>
      <w:r>
        <w:t>[ ] Sí, con descripción de escenarios, impacto y probabilidad</w:t>
      </w:r>
    </w:p>
    <w:p>
      <w:pPr>
        <w:pStyle w:val="ListBullet"/>
        <w:keepLines w:val="1"/>
        <w:keepNext w:val="1"/>
        <w:widowControl w:val="1"/>
      </w:pPr>
      <w:r>
        <w:t>[ ] Sí, pero las APT están diluidas dentro de “ciberataques” genéricos</w:t>
      </w:r>
    </w:p>
    <w:p>
      <w:pPr>
        <w:pStyle w:val="ListBullet"/>
        <w:keepLines w:val="1"/>
        <w:keepNext w:val="1"/>
        <w:widowControl w:val="1"/>
      </w:pPr>
      <w:r>
        <w:t>[ ] En elaboración</w:t>
      </w:r>
    </w:p>
    <w:p>
      <w:pPr>
        <w:pStyle w:val="ListBullet"/>
        <w:keepLines w:val="1"/>
        <w:widowControl w:val="1"/>
      </w:pPr>
      <w:r>
        <w:t>[ ] No</w:t>
      </w:r>
    </w:p>
    <w:p>
      <w:r>
        <w:rPr>
          <w:b/>
        </w:rPr>
        <w:t>Frecuencia de actualización del análisis de riesgo de ciberseguridad</w:t>
      </w:r>
    </w:p>
    <w:p>
      <w:pPr>
        <w:pStyle w:val="ListBullet"/>
        <w:keepLines w:val="1"/>
        <w:keepNext w:val="1"/>
        <w:widowControl w:val="1"/>
      </w:pPr>
      <w:r>
        <w:t>[ ] Al menos anual</w:t>
      </w:r>
    </w:p>
    <w:p>
      <w:pPr>
        <w:pStyle w:val="ListBullet"/>
        <w:keepLines w:val="1"/>
        <w:keepNext w:val="1"/>
        <w:widowControl w:val="1"/>
      </w:pPr>
      <w:r>
        <w:t>[ ] Cada 2–3 años</w:t>
      </w:r>
    </w:p>
    <w:p>
      <w:pPr>
        <w:pStyle w:val="ListBullet"/>
        <w:keepLines w:val="1"/>
        <w:keepNext w:val="1"/>
        <w:widowControl w:val="1"/>
      </w:pPr>
      <w:r>
        <w:t>[ ] Solo tras cambios significativos (fusiones, adquisiciones, nuevas líneas de negocio)</w:t>
      </w:r>
    </w:p>
    <w:p>
      <w:pPr>
        <w:pStyle w:val="ListBullet"/>
        <w:keepLines w:val="1"/>
        <w:keepNext w:val="1"/>
        <w:widowControl w:val="1"/>
      </w:pPr>
      <w:r>
        <w:t>[ ] Solo tras incidentes relevantes</w:t>
      </w:r>
    </w:p>
    <w:p>
      <w:pPr>
        <w:pStyle w:val="ListBullet"/>
        <w:keepLines w:val="1"/>
        <w:widowControl w:val="1"/>
      </w:pPr>
      <w:r>
        <w:t>[ ] No se actualiza de forma sistemática</w:t>
      </w:r>
    </w:p>
    <w:p>
      <w:r>
        <w:rPr>
          <w:b/>
        </w:rPr>
        <w:t>Uso de métricas clave para monitorizar el riesgo APT</w:t>
      </w:r>
    </w:p>
    <w:p>
      <w:r>
        <w:t>Para cada métrica indique el nivel de adopción:</w:t>
      </w:r>
    </w:p>
    <w:p>
      <w:r>
        <w:t>Escala:</w:t>
      </w:r>
      <w:r/>
      <w:r>
        <w:br/>
        <w:t>- 0 = No se utiliza</w:t>
      </w:r>
      <w:r/>
      <w:r>
        <w:br/>
        <w:t>- 1 = Se mide de forma informal / puntual</w:t>
      </w:r>
      <w:r/>
      <w:r>
        <w:br/>
        <w:t>- 2 = Se mide de forma sistemática, pero sin objetivos claros</w:t>
      </w:r>
      <w:r/>
      <w:r>
        <w:br/>
        <w:t>- 3 = Se mide, con objetivos definidos y seguimiento periódico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13.1. Tiempo medio de detección (MTTD) de incidentes</w:t>
        <w:br/>
        <w:t>- [ ] 0</w:t>
        <w:br/>
        <w:t>- [ ] 1</w:t>
        <w:br/>
        <w:t>- [ ] 2</w:t>
        <w:br/>
        <w:t>- [ ] 3</w:t>
        <w:br/>
        <w:br/>
        <w:t>13.2. Tiempo medio de respuesta (MTTR) ante incidentes</w:t>
        <w:br/>
        <w:t>- [ ] 0</w:t>
        <w:br/>
        <w:t>- [ ] 1</w:t>
        <w:br/>
        <w:t>- [ ] 2</w:t>
        <w:br/>
        <w:t>- [ ] 3</w:t>
        <w:br/>
        <w:br/>
        <w:t>13.3. Tiempo medio de parcheo (MTTP) de vulnerabilidades críticas</w:t>
        <w:br/>
        <w:t>- [ ] 0</w:t>
        <w:br/>
        <w:t>- [ ] 1</w:t>
        <w:br/>
        <w:t>- [ ] 2</w:t>
        <w:br/>
        <w:t>- [ ] 3</w:t>
        <w:br/>
        <w:br/>
        <w:t>13.4. Porcentaje de incidentes cuyo vector inicial es phishing</w:t>
        <w:br/>
        <w:t>- [ ] 0</w:t>
        <w:br/>
        <w:t>- [ ] 1</w:t>
        <w:br/>
        <w:t>- [ ] 2</w:t>
        <w:br/>
        <w:t>- [ ] 3</w:t>
        <w:br/>
        <w:br/>
        <w:t>13.5. Número de detecciones de TTPs MITRE ATT&amp;CK asociadas a APT</w:t>
        <w:br/>
        <w:t>- [ ] 0</w:t>
        <w:br/>
        <w:t>- [ ] 1</w:t>
        <w:br/>
        <w:t>- [ ] 2</w:t>
        <w:br/>
        <w:t>- [ ] 3</w:t>
        <w:br/>
        <w:br/>
        <w:t>13.6. Número de incidentes implicando a proveedores / cadena de suministro</w:t>
        <w:br/>
        <w:t>- [ ] 0</w:t>
        <w:br/>
        <w:t>- [ ] 1</w:t>
        <w:br/>
        <w:t>- [ ] 2</w:t>
        <w:br/>
        <w:t>- [ ] 3</w:t>
        <w:br/>
      </w:r>
    </w:p>
    <w:p>
      <w:pPr>
        <w:pStyle w:val="ListNumber"/>
        <w:keepLines w:val="1"/>
        <w:keepNext w:val="1"/>
        <w:widowControl w:val="1"/>
      </w:pPr>
      <w:r>
        <w:br/>
        <w:t>Nivel de cuantificación económica del riesgo APT (pérdida esperada anual, escenarios de impacto)</w:t>
        <w:br/>
        <w:br/>
        <w:t>[ ] Se cuantifica económicamente con metodologías formales (p. ej. FAIR)</w:t>
        <w:br/>
        <w:t>[ ] Se realizan estimaciones numéricas aproximadas</w:t>
        <w:br/>
        <w:t>[ ] Solo se utilizan escalas cualitativas (bajo/medio/alto)</w:t>
        <w:br/>
        <w:t>[ ] No se realiza cuantificación del riesgo</w:t>
        <w:br/>
        <w:br/>
      </w:r>
    </w:p>
    <w:p>
      <w:pPr>
        <w:pStyle w:val="ListNumber"/>
        <w:keepLines w:val="1"/>
        <w:widowControl w:val="1"/>
      </w:pPr>
      <w:r>
        <w:br/>
        <w:t>Grado de integración del riesgo APT en la planificación de continuidad de negocio y resiliencia operacional</w:t>
        <w:br/>
        <w:br/>
        <w:t>[ ] Totalmente integrado (escenarios, umbrales de activación, pruebas)</w:t>
        <w:br/>
        <w:t>[ ] Parcialmente integrado (algunos escenarios o funciones)</w:t>
        <w:br/>
        <w:t>[ ] Mencionado de forma genérica pero sin desarrollo práctico</w:t>
        <w:br/>
        <w:t>[ ] No está integrado</w:t>
        <w:br/>
        <w:br/>
      </w:r>
    </w:p>
    <w:p>
      <w:r>
        <w:rPr>
          <w:b/>
        </w:rPr>
        <w:t>Nivel de cuantificación económica del riesgo APT (pérdida esperada anual, escenarios de impacto)</w:t>
      </w:r>
    </w:p>
    <w:p>
      <w:pPr>
        <w:pStyle w:val="ListBullet"/>
        <w:keepLines w:val="1"/>
        <w:keepNext w:val="1"/>
        <w:widowControl w:val="1"/>
      </w:pPr>
      <w:r>
        <w:t>[ ] Se cuantifica económicamente con metodologías formales (p. ej. FAIR)</w:t>
      </w:r>
    </w:p>
    <w:p>
      <w:pPr>
        <w:pStyle w:val="ListBullet"/>
        <w:keepLines w:val="1"/>
        <w:keepNext w:val="1"/>
        <w:widowControl w:val="1"/>
      </w:pPr>
      <w:r>
        <w:t>[ ] Se realizan estimaciones numéricas aproximadas</w:t>
      </w:r>
    </w:p>
    <w:p>
      <w:pPr>
        <w:pStyle w:val="ListBullet"/>
        <w:keepLines w:val="1"/>
        <w:keepNext w:val="1"/>
        <w:widowControl w:val="1"/>
      </w:pPr>
      <w:r>
        <w:t>[ ] Solo se utilizan escalas cualitativas (bajo/medio/alto)</w:t>
      </w:r>
    </w:p>
    <w:p>
      <w:pPr>
        <w:pStyle w:val="ListBullet"/>
        <w:keepLines w:val="1"/>
        <w:widowControl w:val="1"/>
      </w:pPr>
      <w:r>
        <w:t>[ ] No se realiza cuantificación del riesgo</w:t>
      </w:r>
    </w:p>
    <w:p>
      <w:r>
        <w:rPr>
          <w:b/>
        </w:rPr>
        <w:t>Grado de integración del riesgo APT en la planificación de continuidad de negocio y resiliencia operacional</w:t>
      </w:r>
    </w:p>
    <w:p>
      <w:pPr>
        <w:pStyle w:val="ListBullet"/>
        <w:keepLines w:val="1"/>
        <w:keepNext w:val="1"/>
        <w:widowControl w:val="1"/>
      </w:pPr>
      <w:r>
        <w:t>[ ] Totalmente integrado (escenarios, umbrales de activación, pruebas)</w:t>
      </w:r>
    </w:p>
    <w:p>
      <w:pPr>
        <w:pStyle w:val="ListBullet"/>
        <w:keepLines w:val="1"/>
        <w:keepNext w:val="1"/>
        <w:widowControl w:val="1"/>
      </w:pPr>
      <w:r>
        <w:t>[ ] Parcialmente integrado (algunos escenarios o funciones)</w:t>
      </w:r>
    </w:p>
    <w:p>
      <w:pPr>
        <w:pStyle w:val="ListBullet"/>
        <w:keepLines w:val="1"/>
        <w:keepNext w:val="1"/>
        <w:widowControl w:val="1"/>
      </w:pPr>
      <w:r>
        <w:t>[ ] Mencionado de forma genérica pero sin desarrollo práctico</w:t>
      </w:r>
    </w:p>
    <w:p>
      <w:pPr>
        <w:pStyle w:val="ListBullet"/>
        <w:keepLines w:val="1"/>
        <w:widowControl w:val="1"/>
      </w:pPr>
      <w:r>
        <w:t>[ ] No está integrado</w:t>
      </w:r>
    </w:p>
    <w:p>
      <w:pPr>
        <w:pStyle w:val="Heading2"/>
        <w:keepNext/>
        <w:keepLines/>
      </w:pPr>
      <w:r>
        <w:rPr>
          <w:color w:val="0066CC"/>
        </w:rPr>
        <w:t>Bloque 4. Vectores de entrada: phishing, vulnerabilidades y cadena de suministro</w:t>
      </w:r>
    </w:p>
    <w:p>
      <w:pPr>
        <w:pStyle w:val="ListNumber"/>
        <w:keepLines w:val="1"/>
        <w:widowControl w:val="1"/>
      </w:pPr>
      <w:r>
        <w:t>Detección y gestión del phishing dirigido (spear‑phishing / whaling)</w:t>
      </w:r>
    </w:p>
    <w:p>
      <w:r>
        <w:t>En los últimos 12 meses, la organización ha:</w:t>
      </w:r>
      <w:r/>
      <w:r>
        <w:br/>
        <w:t xml:space="preserve">    - [ ] Sufrido campañas de spear‑phishing identificadas y bloqueadas antes de comprometer cuentas</w:t>
      </w:r>
      <w:r/>
      <w:r>
        <w:br/>
        <w:t xml:space="preserve">    - [ ] Sufrido campañas de spear‑phishing con compromiso de al menos una cuenta</w:t>
      </w:r>
      <w:r/>
      <w:r>
        <w:br/>
        <w:t xml:space="preserve">    - [ ] Realizado simulaciones de phishing internas para concienciación</w:t>
      </w:r>
      <w:r/>
      <w:r>
        <w:br/>
        <w:t xml:space="preserve">    - [ ] No detectado (o no sabe de) campañas de spear‑phishing</w:t>
      </w:r>
    </w:p>
    <w:p>
      <w:pPr>
        <w:pStyle w:val="ListNumber"/>
        <w:keepLines w:val="1"/>
        <w:keepNext w:val="1"/>
        <w:widowControl w:val="1"/>
      </w:pPr>
      <w:r>
        <w:br/>
        <w:t>Uso de soluciones técnicas específicas contra phishing</w:t>
        <w:br/>
        <w:br/>
        <w:t>[ ] Filtros avanzados de correo (sandboxing, análisis de enlaces, reputación)</w:t>
        <w:br/>
        <w:t>[ ] Protección del navegador / aislamiento remoto</w:t>
        <w:br/>
        <w:t>[ ] Autenticación fuerte (MFA) sistemática para accesos externos</w:t>
        <w:br/>
        <w:t>[ ] Análisis de contenido generado por IA (detección de deepfakes / anomalías)</w:t>
        <w:br/>
        <w:t>[ ] Ninguna de las anteriores</w:t>
        <w:br/>
        <w:br/>
      </w:r>
    </w:p>
    <w:p>
      <w:pPr>
        <w:pStyle w:val="ListNumber"/>
        <w:keepLines w:val="1"/>
        <w:widowControl w:val="1"/>
      </w:pPr>
      <w:r>
        <w:br/>
        <w:t>Gestión del parcheo de vulnerabilidades críticas</w:t>
        <w:br/>
      </w:r>
    </w:p>
    <w:p>
      <w:r>
        <w:rPr>
          <w:b/>
        </w:rPr>
        <w:t>Uso de soluciones técnicas específicas contra phishing</w:t>
      </w:r>
    </w:p>
    <w:p>
      <w:pPr>
        <w:pStyle w:val="ListBullet"/>
        <w:keepLines w:val="1"/>
        <w:keepNext w:val="1"/>
        <w:widowControl w:val="1"/>
      </w:pPr>
      <w:r>
        <w:t>[ ] Filtros avanzados de correo (sandboxing, análisis de enlaces, reputación)</w:t>
      </w:r>
    </w:p>
    <w:p>
      <w:pPr>
        <w:pStyle w:val="ListBullet"/>
        <w:keepLines w:val="1"/>
        <w:keepNext w:val="1"/>
        <w:widowControl w:val="1"/>
      </w:pPr>
      <w:r>
        <w:t>[ ] Protección del navegador / aislamiento remoto</w:t>
      </w:r>
    </w:p>
    <w:p>
      <w:pPr>
        <w:pStyle w:val="ListBullet"/>
        <w:keepLines w:val="1"/>
        <w:keepNext w:val="1"/>
        <w:widowControl w:val="1"/>
      </w:pPr>
      <w:r>
        <w:t>[ ] Autenticación fuerte (MFA) sistemática para accesos externos</w:t>
      </w:r>
    </w:p>
    <w:p>
      <w:pPr>
        <w:pStyle w:val="ListBullet"/>
        <w:keepLines w:val="1"/>
        <w:keepNext w:val="1"/>
        <w:widowControl w:val="1"/>
      </w:pPr>
      <w:r>
        <w:t>[ ] Análisis de contenido generado por IA (detección de deepfakes / anomalías)</w:t>
      </w:r>
    </w:p>
    <w:p>
      <w:pPr>
        <w:pStyle w:val="ListBullet"/>
        <w:keepLines w:val="1"/>
        <w:widowControl w:val="1"/>
      </w:pPr>
      <w:r>
        <w:t>[ ] Ninguna de las anteriores</w:t>
      </w:r>
    </w:p>
    <w:p>
      <w:r>
        <w:rPr>
          <w:b/>
        </w:rPr>
        <w:t>Gestión del parcheo de vulnerabilidades críticas</w:t>
      </w:r>
    </w:p>
    <w:p>
      <w:r>
        <w:t>En relación con las vulnerabilidades críticas (CVSS ≥ 7,0) en activos críticos:</w:t>
      </w:r>
      <w:r/>
      <w:r>
        <w:br/>
        <w:t xml:space="preserve">    - [ ] Se parchea ≥ 95 % en ≤ 7 días</w:t>
      </w:r>
      <w:r/>
      <w:r>
        <w:br/>
        <w:t xml:space="preserve">    - [ ] Se parchea ≥ 80 % en ≤ 15 días</w:t>
      </w:r>
      <w:r/>
      <w:r>
        <w:br/>
        <w:t xml:space="preserve">    - [ ] No existe un objetivo temporal formal, pero se parchea “lo antes posible”</w:t>
      </w:r>
      <w:r/>
      <w:r>
        <w:br/>
        <w:t xml:space="preserve">    - [ ] El parcheo suele demorarse más de 30 días</w:t>
      </w:r>
      <w:r/>
      <w:r>
        <w:br/>
        <w:t xml:space="preserve">    - [ ] No existe proceso de gestión de vulnerabilidades formalizado</w:t>
      </w:r>
    </w:p>
    <w:p>
      <w:pPr>
        <w:pStyle w:val="ListNumber"/>
        <w:keepLines w:val="1"/>
        <w:keepNext w:val="1"/>
        <w:widowControl w:val="1"/>
      </w:pPr>
      <w:r>
        <w:br/>
        <w:t>Fuentes de información de amenazas (Threat Intelligence) utilizadas regularmente</w:t>
        <w:br/>
        <w:br/>
        <w:t>[ ] Boletines de INCIBE / CCN‑CERT</w:t>
        <w:br/>
        <w:t>[ ] Informes de ENISA / Agencias europeas</w:t>
        <w:br/>
        <w:t>[ ] Feeds comerciales (proveedores de TI / seguridad)</w:t>
        <w:br/>
        <w:t>[ ] Comunidades de intercambio sectoriales (ISAC, etc.)</w:t>
        <w:br/>
        <w:t>[ ] Fuentes abiertas seleccionadas (p. ej. CERTs internacionales)</w:t>
        <w:br/>
        <w:t>[ ] No se utilizan fuentes específicas de inteligencia de amenazas</w:t>
        <w:br/>
        <w:br/>
      </w:r>
    </w:p>
    <w:p>
      <w:pPr>
        <w:pStyle w:val="ListNumber"/>
        <w:keepLines w:val="1"/>
        <w:widowControl w:val="1"/>
      </w:pPr>
      <w:r>
        <w:br/>
        <w:t>Gestión del riesgo en la cadena de suministro digital</w:t>
        <w:br/>
      </w:r>
    </w:p>
    <w:p>
      <w:r>
        <w:rPr>
          <w:b/>
        </w:rPr>
        <w:t>Fuentes de información de amenazas (Threat Intelligence) utilizadas regularmente</w:t>
      </w:r>
    </w:p>
    <w:p>
      <w:pPr>
        <w:pStyle w:val="ListBullet"/>
        <w:keepLines w:val="1"/>
        <w:keepNext w:val="1"/>
        <w:widowControl w:val="1"/>
      </w:pPr>
      <w:r>
        <w:t>[ ] Boletines de INCIBE / CCN‑CERT</w:t>
      </w:r>
    </w:p>
    <w:p>
      <w:pPr>
        <w:pStyle w:val="ListBullet"/>
        <w:keepLines w:val="1"/>
        <w:keepNext w:val="1"/>
        <w:widowControl w:val="1"/>
      </w:pPr>
      <w:r>
        <w:t>[ ] Informes de ENISA / Agencias europeas</w:t>
      </w:r>
    </w:p>
    <w:p>
      <w:pPr>
        <w:pStyle w:val="ListBullet"/>
        <w:keepLines w:val="1"/>
        <w:keepNext w:val="1"/>
        <w:widowControl w:val="1"/>
      </w:pPr>
      <w:r>
        <w:t>[ ] Feeds comerciales (proveedores de TI / seguridad)</w:t>
      </w:r>
    </w:p>
    <w:p>
      <w:pPr>
        <w:pStyle w:val="ListBullet"/>
        <w:keepLines w:val="1"/>
        <w:keepNext w:val="1"/>
        <w:widowControl w:val="1"/>
      </w:pPr>
      <w:r>
        <w:t>[ ] Comunidades de intercambio sectoriales (ISAC, etc.)</w:t>
      </w:r>
    </w:p>
    <w:p>
      <w:pPr>
        <w:pStyle w:val="ListBullet"/>
        <w:keepLines w:val="1"/>
        <w:keepNext w:val="1"/>
        <w:widowControl w:val="1"/>
      </w:pPr>
      <w:r>
        <w:t>[ ] Fuentes abiertas seleccionadas (p. ej. CERTs internacionales)</w:t>
      </w:r>
    </w:p>
    <w:p>
      <w:pPr>
        <w:pStyle w:val="ListBullet"/>
        <w:keepLines w:val="1"/>
        <w:widowControl w:val="1"/>
      </w:pPr>
      <w:r>
        <w:t>[ ] No se utilizan fuentes específicas de inteligencia de amenazas</w:t>
      </w:r>
    </w:p>
    <w:p>
      <w:r>
        <w:rPr>
          <w:b/>
        </w:rPr>
        <w:t>Gestión del riesgo en la cadena de suministro digital</w:t>
      </w:r>
    </w:p>
    <w:p>
      <w:r>
        <w:t>Respecto a proveedores críticos de TI, cloud y servicios gestionados:</w:t>
      </w:r>
      <w:r/>
      <w:r>
        <w:br/>
        <w:t xml:space="preserve">    - [ ] Se evalúan sus controles de seguridad antes de la contratación</w:t>
      </w:r>
      <w:r/>
      <w:r>
        <w:br/>
        <w:t xml:space="preserve">    - [ ] Se incluyen cláusulas específicas de ciberseguridad y notificación de incidentes</w:t>
      </w:r>
      <w:r/>
      <w:r>
        <w:br/>
        <w:t xml:space="preserve">    - [ ] Se realiza seguimiento periódico (al menos anual) de su postura de seguridad</w:t>
      </w:r>
      <w:r/>
      <w:r>
        <w:br/>
        <w:t xml:space="preserve">    - [ ] Se exigen certificaciones (ISO 27001, ENS, etc.)</w:t>
      </w:r>
      <w:r/>
      <w:r>
        <w:br/>
        <w:t xml:space="preserve">    - [ ] No se realiza evaluación estructurada de seguridad de proveedores</w:t>
      </w:r>
    </w:p>
    <w:p>
      <w:pPr>
        <w:pStyle w:val="Heading2"/>
        <w:keepNext/>
        <w:keepLines/>
      </w:pPr>
      <w:r>
        <w:rPr>
          <w:color w:val="0066CC"/>
        </w:rPr>
        <w:t>Bloque 5. Detección basada en TTPs y MITRE ATT&amp;CK</w:t>
      </w:r>
    </w:p>
    <w:p>
      <w:pPr>
        <w:pStyle w:val="ListNumber"/>
        <w:keepLines w:val="1"/>
        <w:keepNext w:val="1"/>
        <w:widowControl w:val="1"/>
      </w:pPr>
      <w:r>
        <w:br/>
        <w:t>Uso del marco MITRE ATT&amp;CK en la organización</w:t>
        <w:br/>
        <w:br/>
        <w:t>[ ] Utilizado para modelar amenazas y priorizar casos de uso de detección</w:t>
        <w:br/>
        <w:t>[ ] Utilizado para evaluar cobertura de detección en SOC / SIEM</w:t>
        <w:br/>
        <w:t>[ ] Utilizado solo de manera informal / ad hoc</w:t>
        <w:br/>
        <w:t>[ ] Conocido pero no utilizado</w:t>
        <w:br/>
        <w:t>[ ] Desconocido hasta el momento (pero ya no, gracias a esta encuesta)</w:t>
        <w:br/>
        <w:br/>
      </w:r>
    </w:p>
    <w:p>
      <w:pPr>
        <w:pStyle w:val="ListNumber"/>
        <w:keepLines w:val="1"/>
        <w:widowControl w:val="1"/>
      </w:pPr>
      <w:r>
        <w:br/>
        <w:t>Cobertura de técnicas MITRE relevantes para APT</w:t>
        <w:br/>
      </w:r>
    </w:p>
    <w:p>
      <w:r>
        <w:rPr>
          <w:b/>
        </w:rPr>
        <w:t>Uso del marco MITRE ATT&amp;CK en la organización</w:t>
      </w:r>
    </w:p>
    <w:p>
      <w:pPr>
        <w:pStyle w:val="ListBullet"/>
        <w:keepLines w:val="1"/>
        <w:keepNext w:val="1"/>
        <w:widowControl w:val="1"/>
      </w:pPr>
      <w:r>
        <w:t>[ ] Utilizado para modelar amenazas y priorizar casos de uso de detección</w:t>
      </w:r>
    </w:p>
    <w:p>
      <w:pPr>
        <w:pStyle w:val="ListBullet"/>
        <w:keepLines w:val="1"/>
        <w:keepNext w:val="1"/>
        <w:widowControl w:val="1"/>
      </w:pPr>
      <w:r>
        <w:t>[ ] Utilizado para evaluar cobertura de detección en SOC / SIEM</w:t>
      </w:r>
    </w:p>
    <w:p>
      <w:pPr>
        <w:pStyle w:val="ListBullet"/>
        <w:keepLines w:val="1"/>
        <w:keepNext w:val="1"/>
        <w:widowControl w:val="1"/>
      </w:pPr>
      <w:r>
        <w:t>[ ] Utilizado solo de manera informal / ad hoc</w:t>
      </w:r>
    </w:p>
    <w:p>
      <w:pPr>
        <w:pStyle w:val="ListBullet"/>
        <w:keepLines w:val="1"/>
        <w:keepNext w:val="1"/>
        <w:widowControl w:val="1"/>
      </w:pPr>
      <w:r>
        <w:t>[ ] Conocido pero no utilizado</w:t>
      </w:r>
    </w:p>
    <w:p>
      <w:pPr>
        <w:pStyle w:val="ListBullet"/>
        <w:keepLines w:val="1"/>
        <w:widowControl w:val="1"/>
      </w:pPr>
      <w:r>
        <w:t>[ ] Desconocido hasta el momento (pero ya no, gracias a esta encuesta)</w:t>
      </w:r>
    </w:p>
    <w:p>
      <w:r>
        <w:rPr>
          <w:b/>
        </w:rPr>
        <w:t>Cobertura de técnicas MITRE relevantes para APT</w:t>
      </w:r>
    </w:p>
    <w:p>
      <w:r>
        <w:t>Indique el nivel de capacidad de detección (0–3) para las siguientes técnicas:</w:t>
      </w:r>
    </w:p>
    <w:p>
      <w:r>
        <w:t>Escala:</w:t>
      </w:r>
      <w:r/>
      <w:r>
        <w:br/>
        <w:t>- 0 = No se detecta</w:t>
      </w:r>
      <w:r/>
      <w:r>
        <w:br/>
        <w:t>- 1 = Se detecta de forma limitada / manual</w:t>
      </w:r>
      <w:r/>
      <w:r>
        <w:br/>
        <w:t>- 2 = Se detecta de forma automatizada para parte del entorno</w:t>
      </w:r>
      <w:r/>
      <w:r>
        <w:br/>
        <w:t>- 3 = Se detecta de forma automatizada y se correlaciona con otros eventos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22.1. System Information Discovery (recopilación de info del sistema)</w:t>
        <w:br/>
        <w:t>- [ ] 0</w:t>
        <w:br/>
        <w:t>- [ ] 1</w:t>
        <w:br/>
        <w:t>- [ ] 2</w:t>
        <w:br/>
        <w:t>- [ ] 3</w:t>
        <w:br/>
        <w:br/>
        <w:t>22.2. Ingress Tool Transfer (transferencia de herramientas al entorno comprometido)</w:t>
        <w:br/>
        <w:t>- [ ] 0</w:t>
        <w:br/>
        <w:t>- [ ] 1</w:t>
        <w:br/>
        <w:t>- [ ] 2</w:t>
        <w:br/>
        <w:t>- [ ] 3</w:t>
        <w:br/>
        <w:br/>
        <w:t>22.3. Web Protocols (uso de protocolos web para C2)</w:t>
        <w:br/>
        <w:t>- [ ] 0</w:t>
        <w:br/>
        <w:t>- [ ] 1</w:t>
        <w:br/>
        <w:t>- [ ] 2</w:t>
        <w:br/>
        <w:t>- [ ] 3</w:t>
        <w:br/>
        <w:br/>
        <w:t>22.4. Credencial Access (robo de credenciales)</w:t>
        <w:br/>
        <w:t>- [ ] 0</w:t>
        <w:br/>
        <w:t>- [ ] 1</w:t>
        <w:br/>
        <w:t>- [ ] 2</w:t>
        <w:br/>
        <w:t>- [ ] 3</w:t>
        <w:br/>
        <w:br/>
        <w:t>22.5. Lateral Movement (movimiento lateral)</w:t>
        <w:br/>
        <w:t>- [ ] 0</w:t>
        <w:br/>
        <w:t>- [ ] 1</w:t>
        <w:br/>
        <w:t>- [ ] 2</w:t>
        <w:br/>
        <w:t>- [ ] 3</w:t>
        <w:br/>
      </w:r>
    </w:p>
    <w:p>
      <w:pPr>
        <w:pStyle w:val="ListNumber"/>
        <w:keepLines w:val="1"/>
        <w:keepNext w:val="1"/>
        <w:widowControl w:val="1"/>
      </w:pPr>
      <w:r>
        <w:br/>
        <w:t>Existencia de un plan de detección específico para APT</w:t>
        <w:br/>
        <w:br/>
        <w:t>[ ] Sí, con casos de uso definidos y playbooks asociados</w:t>
        <w:br/>
        <w:t>[ ] Sí, pero integrado dentro del plan general de detección de amenazas</w:t>
        <w:br/>
        <w:t>[ ] En elaboración</w:t>
        <w:br/>
        <w:t>[ ] No existe</w:t>
        <w:br/>
        <w:br/>
      </w:r>
    </w:p>
    <w:p>
      <w:pPr>
        <w:pStyle w:val="ListNumber"/>
        <w:keepLines w:val="1"/>
        <w:widowControl w:val="1"/>
      </w:pPr>
      <w:r>
        <w:br/>
        <w:t>Uso de análisis avanzado (IA / ML) en detección de patrones APT</w:t>
        <w:br/>
        <w:br/>
        <w:t>[ ] Se utilizan modelos de IA/ML entrenados con datos propios</w:t>
        <w:br/>
        <w:t>[ ] Se utilizan modelos incluidos en soluciones comerciales (EDR, NDR, XDR, etc.)</w:t>
        <w:br/>
        <w:t>[ ] Se encuentran en fase piloto / prueba de concepto</w:t>
        <w:br/>
        <w:t>[ ] No se utilizan técnicas de IA/ML en detección</w:t>
        <w:br/>
        <w:br/>
      </w:r>
    </w:p>
    <w:p>
      <w:r>
        <w:rPr>
          <w:b/>
        </w:rPr>
        <w:t>Existencia de un plan de detección específico para APT</w:t>
      </w:r>
    </w:p>
    <w:p>
      <w:pPr>
        <w:pStyle w:val="ListBullet"/>
        <w:keepLines w:val="1"/>
        <w:keepNext w:val="1"/>
        <w:widowControl w:val="1"/>
      </w:pPr>
      <w:r>
        <w:t>[ ] Sí, con casos de uso definidos y playbooks asociados</w:t>
      </w:r>
    </w:p>
    <w:p>
      <w:pPr>
        <w:pStyle w:val="ListBullet"/>
        <w:keepLines w:val="1"/>
        <w:keepNext w:val="1"/>
        <w:widowControl w:val="1"/>
      </w:pPr>
      <w:r>
        <w:t>[ ] Sí, pero integrado dentro del plan general de detección de amenazas</w:t>
      </w:r>
    </w:p>
    <w:p>
      <w:pPr>
        <w:pStyle w:val="ListBullet"/>
        <w:keepLines w:val="1"/>
        <w:keepNext w:val="1"/>
        <w:widowControl w:val="1"/>
      </w:pPr>
      <w:r>
        <w:t>[ ] En elaboración</w:t>
      </w:r>
    </w:p>
    <w:p>
      <w:pPr>
        <w:pStyle w:val="ListBullet"/>
        <w:keepLines w:val="1"/>
        <w:widowControl w:val="1"/>
      </w:pPr>
      <w:r>
        <w:t>[ ] No existe</w:t>
      </w:r>
    </w:p>
    <w:p>
      <w:r>
        <w:rPr>
          <w:b/>
        </w:rPr>
        <w:t>Uso de análisis avanzado (IA / ML) en detección de patrones APT</w:t>
      </w:r>
    </w:p>
    <w:p>
      <w:pPr>
        <w:pStyle w:val="ListBullet"/>
        <w:keepLines w:val="1"/>
        <w:keepNext w:val="1"/>
        <w:widowControl w:val="1"/>
      </w:pPr>
      <w:r>
        <w:t>[ ] Se utilizan modelos de IA/ML entrenados con datos propios</w:t>
      </w:r>
    </w:p>
    <w:p>
      <w:pPr>
        <w:pStyle w:val="ListBullet"/>
        <w:keepLines w:val="1"/>
        <w:keepNext w:val="1"/>
        <w:widowControl w:val="1"/>
      </w:pPr>
      <w:r>
        <w:t>[ ] Se utilizan modelos incluidos en soluciones comerciales (EDR, NDR, XDR, etc.)</w:t>
      </w:r>
    </w:p>
    <w:p>
      <w:pPr>
        <w:pStyle w:val="ListBullet"/>
        <w:keepLines w:val="1"/>
        <w:keepNext w:val="1"/>
        <w:widowControl w:val="1"/>
      </w:pPr>
      <w:r>
        <w:t>[ ] Se encuentran en fase piloto / prueba de concepto</w:t>
      </w:r>
    </w:p>
    <w:p>
      <w:pPr>
        <w:pStyle w:val="ListBullet"/>
        <w:keepLines w:val="1"/>
        <w:widowControl w:val="1"/>
      </w:pPr>
      <w:r>
        <w:t>[ ] No se utilizan técnicas de IA/ML en detección</w:t>
      </w:r>
    </w:p>
    <w:p>
      <w:pPr>
        <w:pStyle w:val="Heading2"/>
        <w:keepNext/>
        <w:keepLines/>
      </w:pPr>
      <w:r>
        <w:rPr>
          <w:color w:val="0066CC"/>
        </w:rPr>
        <w:t>Bloque 6. Respuesta a incidentes y recuperación</w:t>
      </w:r>
    </w:p>
    <w:p>
      <w:pPr>
        <w:pStyle w:val="ListNumber"/>
        <w:keepLines w:val="1"/>
        <w:keepNext w:val="1"/>
        <w:widowControl w:val="1"/>
      </w:pPr>
      <w:r>
        <w:br/>
        <w:t>Existencia de un Plan de Respuesta a Incidentes (PRI)</w:t>
        <w:br/>
        <w:br/>
        <w:t>[ ] Sí, documentado y alineado con estándares (p. ej. ISO 27035)</w:t>
        <w:br/>
        <w:t>[ ] Sí, pero informal / sin alineamiento explícito</w:t>
        <w:br/>
        <w:t>[ ] En elaboración</w:t>
        <w:br/>
        <w:t>[ ] No existe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Pruebas y simulacros de respuesta a incidentes APT</w:t>
        <w:br/>
        <w:br/>
        <w:t>[ ] Se realizan ejercicios de mesa (table‑top) al menos una vez al año</w:t>
        <w:br/>
        <w:t>[ ] Se realizan simulaciones técnicas (red team, purple team, etc.)</w:t>
        <w:br/>
        <w:t>[ ] Se han realizado pruebas puntuales pero sin periodicidad definida</w:t>
        <w:br/>
        <w:t>[ ] No se han realizado pruebas específicas para APT</w:t>
        <w:br/>
        <w:br/>
      </w:r>
    </w:p>
    <w:p>
      <w:pPr>
        <w:pStyle w:val="ListNumber"/>
        <w:keepLines w:val="1"/>
        <w:widowControl w:val="1"/>
      </w:pPr>
      <w:r>
        <w:br/>
        <w:t>Métricas operativas de respuesta</w:t>
        <w:br/>
      </w:r>
    </w:p>
    <w:p>
      <w:r>
        <w:rPr>
          <w:b/>
        </w:rPr>
        <w:t>Existencia de un Plan de Respuesta a Incidentes (PRI)</w:t>
      </w:r>
    </w:p>
    <w:p>
      <w:pPr>
        <w:pStyle w:val="ListBullet"/>
        <w:keepLines w:val="1"/>
        <w:keepNext w:val="1"/>
        <w:widowControl w:val="1"/>
      </w:pPr>
      <w:r>
        <w:t>[ ] Sí, documentado y alineado con estándares (p. ej. ISO 27035)</w:t>
      </w:r>
    </w:p>
    <w:p>
      <w:pPr>
        <w:pStyle w:val="ListBullet"/>
        <w:keepLines w:val="1"/>
        <w:keepNext w:val="1"/>
        <w:widowControl w:val="1"/>
      </w:pPr>
      <w:r>
        <w:t>[ ] Sí, pero informal / sin alineamiento explícito</w:t>
      </w:r>
    </w:p>
    <w:p>
      <w:pPr>
        <w:pStyle w:val="ListBullet"/>
        <w:keepLines w:val="1"/>
        <w:keepNext w:val="1"/>
        <w:widowControl w:val="1"/>
      </w:pPr>
      <w:r>
        <w:t>[ ] En elaboración</w:t>
      </w:r>
    </w:p>
    <w:p>
      <w:pPr>
        <w:pStyle w:val="ListBullet"/>
        <w:keepLines w:val="1"/>
        <w:widowControl w:val="1"/>
      </w:pPr>
      <w:r>
        <w:t>[ ] No existe</w:t>
      </w:r>
    </w:p>
    <w:p>
      <w:r>
        <w:rPr>
          <w:b/>
        </w:rPr>
        <w:t>Pruebas y simulacros de respuesta a incidentes APT</w:t>
      </w:r>
    </w:p>
    <w:p>
      <w:pPr>
        <w:pStyle w:val="ListBullet"/>
        <w:keepLines w:val="1"/>
        <w:keepNext w:val="1"/>
        <w:widowControl w:val="1"/>
      </w:pPr>
      <w:r>
        <w:t>[ ] Se realizan ejercicios de mesa (table‑top) al menos una vez al año</w:t>
      </w:r>
    </w:p>
    <w:p>
      <w:pPr>
        <w:pStyle w:val="ListBullet"/>
        <w:keepLines w:val="1"/>
        <w:keepNext w:val="1"/>
        <w:widowControl w:val="1"/>
      </w:pPr>
      <w:r>
        <w:t>[ ] Se realizan simulaciones técnicas (red team, purple team, etc.)</w:t>
      </w:r>
    </w:p>
    <w:p>
      <w:pPr>
        <w:pStyle w:val="ListBullet"/>
        <w:keepLines w:val="1"/>
        <w:keepNext w:val="1"/>
        <w:widowControl w:val="1"/>
      </w:pPr>
      <w:r>
        <w:t>[ ] Se han realizado pruebas puntuales pero sin periodicidad definida</w:t>
      </w:r>
    </w:p>
    <w:p>
      <w:pPr>
        <w:pStyle w:val="ListBullet"/>
        <w:keepLines w:val="1"/>
        <w:widowControl w:val="1"/>
      </w:pPr>
      <w:r>
        <w:t>[ ] No se han realizado pruebas específicas para APT</w:t>
      </w:r>
    </w:p>
    <w:p>
      <w:r>
        <w:rPr>
          <w:b/>
        </w:rPr>
        <w:t>Métricas operativas de respuesta</w:t>
      </w:r>
    </w:p>
    <w:p>
      <w:r>
        <w:t>Indique el nivel de madurez (0–3) para cada métrica:</w:t>
      </w:r>
    </w:p>
    <w:p>
      <w:pPr>
        <w:pStyle w:val="ListBullet"/>
        <w:keepLines w:val="1"/>
        <w:keepNext w:val="1"/>
        <w:widowControl w:val="1"/>
      </w:pPr>
      <w:r>
        <w:t>0 = No se mide</w:t>
      </w:r>
    </w:p>
    <w:p>
      <w:pPr>
        <w:pStyle w:val="ListBullet"/>
        <w:keepLines w:val="1"/>
        <w:keepNext w:val="1"/>
        <w:widowControl w:val="1"/>
      </w:pPr>
      <w:r>
        <w:t>1 = Se mide pero no se revisa regularmente</w:t>
      </w:r>
    </w:p>
    <w:p>
      <w:pPr>
        <w:pStyle w:val="ListBullet"/>
        <w:keepLines w:val="1"/>
        <w:keepNext w:val="1"/>
        <w:widowControl w:val="1"/>
      </w:pPr>
      <w:r>
        <w:t>2 = Se mide y se revisa periódicamente</w:t>
      </w:r>
    </w:p>
    <w:p>
      <w:pPr>
        <w:pStyle w:val="ListBullet"/>
        <w:keepLines w:val="1"/>
        <w:keepNext w:val="1"/>
        <w:widowControl w:val="1"/>
      </w:pPr>
      <w:r>
        <w:br/>
        <w:t>3 = Se mide, se revisa y se utilizan umbrales/SLAs de mejora</w:t>
        <w:br/>
        <w:t>27.1. MTTR desde detección hasta contención</w:t>
        <w:br/>
        <w:t>- [ ] 0</w:t>
        <w:br/>
        <w:t>- [ ] 1</w:t>
        <w:br/>
        <w:t>- [ ] 2</w:t>
        <w:br/>
        <w:t>- [ ] 3</w:t>
        <w:br/>
        <w:t>27.2. MTTR desde contención hasta erradicación</w:t>
        <w:br/>
        <w:t>- [ ] 0</w:t>
        <w:br/>
        <w:t>- [ ] 1</w:t>
        <w:br/>
        <w:t>- [ ] 2</w:t>
        <w:br/>
        <w:t>- [ ] 3</w:t>
        <w:br/>
        <w:t>27.3. Tiempo hasta la comunicación interna al máximo órgano de gobierno</w:t>
        <w:br/>
        <w:t>- [ ] 0</w:t>
        <w:br/>
        <w:t>- [ ] 1</w:t>
        <w:br/>
        <w:t>- [ ] 2</w:t>
        <w:br/>
        <w:t>- [ ] 3</w:t>
        <w:br/>
      </w:r>
    </w:p>
    <w:p>
      <w:pPr>
        <w:pStyle w:val="ListBullet"/>
        <w:keepLines w:val="1"/>
        <w:widowControl w:val="1"/>
      </w:pPr>
      <w:r>
        <w:br/>
        <w:t>Coordinación con organismos externos en caso de incidentes graves</w:t>
        <w:br/>
        <w:br/>
        <w:t>[ ] Se coordinan acciones con INCIBE / CCN‑CERT / Fuerzas y Cuerpos de Seguridad</w:t>
        <w:br/>
        <w:t>[ ] Se notifica a proveedores críticos y reguladores sectoriales cuando aplica</w:t>
        <w:br/>
        <w:t>[ ] No existen protocolos formales de coordinación externa</w:t>
        <w:br/>
        <w:t>[ ] No se han considerado aún estos aspectos</w:t>
        <w:br/>
        <w:br/>
      </w:r>
    </w:p>
    <w:p>
      <w:r>
        <w:t>3 = Se mide, se revisa y se utilizan umbrales/SLAs de mejora</w:t>
      </w:r>
    </w:p>
    <w:p>
      <w:r>
        <w:t>27.1. MTTR desde detección hasta contención</w:t>
      </w:r>
      <w:r/>
      <w:r>
        <w:br/>
        <w:t>- [ ] 0</w:t>
      </w:r>
      <w:r/>
      <w:r>
        <w:br/>
        <w:t>- [ ] 1</w:t>
      </w:r>
      <w:r/>
      <w:r>
        <w:br/>
        <w:t>- [ ] 2</w:t>
      </w:r>
      <w:r/>
      <w:r>
        <w:br/>
        <w:t>- [ ] 3</w:t>
      </w:r>
    </w:p>
    <w:p>
      <w:r>
        <w:t>27.2. MTTR desde contención hasta erradicación</w:t>
      </w:r>
      <w:r/>
      <w:r>
        <w:br/>
        <w:t>- [ ] 0</w:t>
      </w:r>
      <w:r/>
      <w:r>
        <w:br/>
        <w:t>- [ ] 1</w:t>
      </w:r>
      <w:r/>
      <w:r>
        <w:br/>
        <w:t>- [ ] 2</w:t>
      </w:r>
      <w:r/>
      <w:r>
        <w:br/>
        <w:t>- [ ] 3</w:t>
      </w:r>
    </w:p>
    <w:p>
      <w:r>
        <w:t>27.3. Tiempo hasta la comunicación interna al máximo órgano de gobierno</w:t>
      </w:r>
      <w:r/>
      <w:r>
        <w:br/>
        <w:t>- [ ] 0</w:t>
      </w:r>
      <w:r/>
      <w:r>
        <w:br/>
        <w:t>- [ ] 1</w:t>
      </w:r>
      <w:r/>
      <w:r>
        <w:br/>
        <w:t>- [ ] 2</w:t>
      </w:r>
      <w:r/>
      <w:r>
        <w:br/>
        <w:t>- [ ] 3</w:t>
      </w:r>
    </w:p>
    <w:p>
      <w:r>
        <w:rPr>
          <w:b/>
        </w:rPr>
        <w:t>Coordinación con organismos externos en caso de incidentes graves</w:t>
      </w:r>
    </w:p>
    <w:p>
      <w:pPr>
        <w:pStyle w:val="ListBullet"/>
        <w:keepLines w:val="1"/>
        <w:keepNext w:val="1"/>
        <w:widowControl w:val="1"/>
      </w:pPr>
      <w:r>
        <w:t>[ ] Se coordinan acciones con INCIBE / CCN‑CERT / Fuerzas y Cuerpos de Seguridad</w:t>
      </w:r>
    </w:p>
    <w:p>
      <w:pPr>
        <w:pStyle w:val="ListBullet"/>
        <w:keepLines w:val="1"/>
        <w:keepNext w:val="1"/>
        <w:widowControl w:val="1"/>
      </w:pPr>
      <w:r>
        <w:t>[ ] Se notifica a proveedores críticos y reguladores sectoriales cuando aplica</w:t>
      </w:r>
    </w:p>
    <w:p>
      <w:pPr>
        <w:pStyle w:val="ListBullet"/>
        <w:keepLines w:val="1"/>
        <w:keepNext w:val="1"/>
        <w:widowControl w:val="1"/>
      </w:pPr>
      <w:r>
        <w:t>[ ] No existen protocolos formales de coordinación externa</w:t>
      </w:r>
    </w:p>
    <w:p>
      <w:pPr>
        <w:pStyle w:val="ListBullet"/>
        <w:keepLines w:val="1"/>
        <w:widowControl w:val="1"/>
      </w:pPr>
      <w:r>
        <w:t>[ ] No se han considerado aún estos aspectos</w:t>
      </w:r>
    </w:p>
    <w:p>
      <w:pPr>
        <w:pStyle w:val="Heading2"/>
        <w:keepNext/>
        <w:keepLines/>
      </w:pPr>
      <w:r>
        <w:rPr>
          <w:color w:val="0066CC"/>
        </w:rPr>
        <w:t>Bloque 7. Formación, cultura y reporte</w:t>
      </w:r>
    </w:p>
    <w:p>
      <w:pPr>
        <w:pStyle w:val="ListNumber"/>
        <w:keepLines w:val="1"/>
        <w:keepNext w:val="1"/>
        <w:widowControl w:val="1"/>
      </w:pPr>
      <w:r>
        <w:br/>
        <w:t>Programa de formación y concienciación en ciberseguridad</w:t>
        <w:br/>
        <w:br/>
        <w:t>[ ] Formación obligatoria anual para todo el personal</w:t>
        <w:br/>
        <w:t>[ ] Formación específica para colectivos de alto riesgo (dirección, finanzas, admins de sistemas)</w:t>
        <w:br/>
        <w:t>[ ] Simulaciones de phishing periódicas con retroalimentación personalizada</w:t>
        <w:br/>
        <w:t>[ ] Solo comunicaciones puntuales (boletines, correos)</w:t>
        <w:br/>
        <w:t>[ ] No existe un programa estructurado de formación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Canales de reporte interno de incidentes o sospechas de phishing</w:t>
        <w:br/>
        <w:br/>
        <w:t>[ ] Botón/report funcional en el cliente de correo</w:t>
        <w:br/>
        <w:t>[ ] Buzón específico de seguridad (seguridad@..., etc.)</w:t>
        <w:br/>
        <w:t>[ ] Canal anónimo de denuncia</w:t>
        <w:br/>
        <w:t>[ ] Reporte informal al equipo de TI</w:t>
        <w:br/>
        <w:t>[ ] No existe un canal claramente establecido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Número aproximado de reportes de phishing por cada 1 000 empleados al año</w:t>
        <w:br/>
        <w:br/>
        <w:t>[ ] &lt; 10</w:t>
        <w:br/>
        <w:t>[ ] 10–49</w:t>
        <w:br/>
        <w:t>[ ] 50–99</w:t>
        <w:br/>
        <w:t>[ ] 100–199</w:t>
        <w:br/>
        <w:t>[ ] ≥ 200</w:t>
        <w:br/>
        <w:t>[ ] No se mide / se desconoce</w:t>
        <w:br/>
        <w:br/>
      </w:r>
    </w:p>
    <w:p>
      <w:pPr>
        <w:pStyle w:val="ListNumber"/>
        <w:keepLines w:val="1"/>
        <w:widowControl w:val="1"/>
      </w:pPr>
      <w:r>
        <w:br/>
        <w:t>Percepción interna de la ciberseguridad como prioridad estratégica</w:t>
        <w:br/>
        <w:br/>
        <w:t>[ ] Alta – tema recurrente en foros de dirección y en comunicación interna</w:t>
        <w:br/>
        <w:t>[ ] Media – considerada importante pero compitiendo con otras prioridades</w:t>
        <w:br/>
        <w:t>[ ] Baja – se percibe como coste o requisito impuesto</w:t>
        <w:br/>
        <w:t>[ ] Muy baja – “solo importa cuando algo se rompe”</w:t>
        <w:br/>
        <w:br/>
      </w:r>
    </w:p>
    <w:p>
      <w:r>
        <w:rPr>
          <w:b/>
        </w:rPr>
        <w:t>Programa de formación y concienciación en ciberseguridad</w:t>
      </w:r>
    </w:p>
    <w:p>
      <w:pPr>
        <w:pStyle w:val="ListBullet"/>
        <w:keepLines w:val="1"/>
        <w:keepNext w:val="1"/>
        <w:widowControl w:val="1"/>
      </w:pPr>
      <w:r>
        <w:t>[ ] Formación obligatoria anual para todo el personal</w:t>
      </w:r>
    </w:p>
    <w:p>
      <w:pPr>
        <w:pStyle w:val="ListBullet"/>
        <w:keepLines w:val="1"/>
        <w:keepNext w:val="1"/>
        <w:widowControl w:val="1"/>
      </w:pPr>
      <w:r>
        <w:t>[ ] Formación específica para colectivos de alto riesgo (dirección, finanzas, admins de sistemas)</w:t>
      </w:r>
    </w:p>
    <w:p>
      <w:pPr>
        <w:pStyle w:val="ListBullet"/>
        <w:keepLines w:val="1"/>
        <w:keepNext w:val="1"/>
        <w:widowControl w:val="1"/>
      </w:pPr>
      <w:r>
        <w:t>[ ] Simulaciones de phishing periódicas con retroalimentación personalizada</w:t>
      </w:r>
    </w:p>
    <w:p>
      <w:pPr>
        <w:pStyle w:val="ListBullet"/>
        <w:keepLines w:val="1"/>
        <w:keepNext w:val="1"/>
        <w:widowControl w:val="1"/>
      </w:pPr>
      <w:r>
        <w:t>[ ] Solo comunicaciones puntuales (boletines, correos)</w:t>
      </w:r>
    </w:p>
    <w:p>
      <w:pPr>
        <w:pStyle w:val="ListBullet"/>
        <w:keepLines w:val="1"/>
        <w:widowControl w:val="1"/>
      </w:pPr>
      <w:r>
        <w:t>[ ] No existe un programa estructurado de formación</w:t>
      </w:r>
    </w:p>
    <w:p>
      <w:r>
        <w:rPr>
          <w:b/>
        </w:rPr>
        <w:t>Canales de reporte interno de incidentes o sospechas de phishing</w:t>
      </w:r>
    </w:p>
    <w:p>
      <w:pPr>
        <w:pStyle w:val="ListBullet"/>
        <w:keepLines w:val="1"/>
        <w:keepNext w:val="1"/>
        <w:widowControl w:val="1"/>
      </w:pPr>
      <w:r>
        <w:t>[ ] Botón/report funcional en el cliente de correo</w:t>
      </w:r>
    </w:p>
    <w:p>
      <w:pPr>
        <w:pStyle w:val="ListBullet"/>
        <w:keepLines w:val="1"/>
        <w:keepNext w:val="1"/>
        <w:widowControl w:val="1"/>
      </w:pPr>
      <w:r>
        <w:t>[ ] Buzón específico de seguridad (seguridad@..., etc.)</w:t>
      </w:r>
    </w:p>
    <w:p>
      <w:pPr>
        <w:pStyle w:val="ListBullet"/>
        <w:keepLines w:val="1"/>
        <w:keepNext w:val="1"/>
        <w:widowControl w:val="1"/>
      </w:pPr>
      <w:r>
        <w:t>[ ] Canal anónimo de denuncia</w:t>
      </w:r>
    </w:p>
    <w:p>
      <w:pPr>
        <w:pStyle w:val="ListBullet"/>
        <w:keepLines w:val="1"/>
        <w:keepNext w:val="1"/>
        <w:widowControl w:val="1"/>
      </w:pPr>
      <w:r>
        <w:t>[ ] Reporte informal al equipo de TI</w:t>
      </w:r>
    </w:p>
    <w:p>
      <w:pPr>
        <w:pStyle w:val="ListBullet"/>
        <w:keepLines w:val="1"/>
        <w:widowControl w:val="1"/>
      </w:pPr>
      <w:r>
        <w:t>[ ] No existe un canal claramente establecido</w:t>
      </w:r>
    </w:p>
    <w:p>
      <w:r>
        <w:rPr>
          <w:b/>
        </w:rPr>
        <w:t>Número aproximado de reportes de phishing por cada 1 000 empleados al año</w:t>
      </w:r>
    </w:p>
    <w:p>
      <w:pPr>
        <w:pStyle w:val="ListBullet"/>
        <w:keepLines w:val="1"/>
        <w:keepNext w:val="1"/>
        <w:widowControl w:val="1"/>
      </w:pPr>
      <w:r>
        <w:t>[ ] &lt; 10</w:t>
      </w:r>
    </w:p>
    <w:p>
      <w:pPr>
        <w:pStyle w:val="ListBullet"/>
        <w:keepLines w:val="1"/>
        <w:keepNext w:val="1"/>
        <w:widowControl w:val="1"/>
      </w:pPr>
      <w:r>
        <w:t>[ ] 10–49</w:t>
      </w:r>
    </w:p>
    <w:p>
      <w:pPr>
        <w:pStyle w:val="ListBullet"/>
        <w:keepLines w:val="1"/>
        <w:keepNext w:val="1"/>
        <w:widowControl w:val="1"/>
      </w:pPr>
      <w:r>
        <w:t>[ ] 50–99</w:t>
      </w:r>
    </w:p>
    <w:p>
      <w:pPr>
        <w:pStyle w:val="ListBullet"/>
        <w:keepLines w:val="1"/>
        <w:keepNext w:val="1"/>
        <w:widowControl w:val="1"/>
      </w:pPr>
      <w:r>
        <w:t>[ ] 100–199</w:t>
      </w:r>
    </w:p>
    <w:p>
      <w:pPr>
        <w:pStyle w:val="ListBullet"/>
        <w:keepLines w:val="1"/>
        <w:keepNext w:val="1"/>
        <w:widowControl w:val="1"/>
      </w:pPr>
      <w:r>
        <w:t>[ ] ≥ 200</w:t>
      </w:r>
    </w:p>
    <w:p>
      <w:pPr>
        <w:pStyle w:val="ListBullet"/>
        <w:keepLines w:val="1"/>
        <w:widowControl w:val="1"/>
      </w:pPr>
      <w:r>
        <w:t>[ ] No se mide / se desconoce</w:t>
      </w:r>
    </w:p>
    <w:p>
      <w:r>
        <w:rPr>
          <w:b/>
        </w:rPr>
        <w:t>Percepción interna de la ciberseguridad como prioridad estratégica</w:t>
      </w:r>
    </w:p>
    <w:p>
      <w:pPr>
        <w:pStyle w:val="ListBullet"/>
        <w:keepLines w:val="1"/>
        <w:keepNext w:val="1"/>
        <w:widowControl w:val="1"/>
      </w:pPr>
      <w:r>
        <w:t>[ ] Alta – tema recurrente en foros de dirección y en comunicación interna</w:t>
      </w:r>
    </w:p>
    <w:p>
      <w:pPr>
        <w:pStyle w:val="ListBullet"/>
        <w:keepLines w:val="1"/>
        <w:keepNext w:val="1"/>
        <w:widowControl w:val="1"/>
      </w:pPr>
      <w:r>
        <w:t>[ ] Media – considerada importante pero compitiendo con otras prioridades</w:t>
      </w:r>
    </w:p>
    <w:p>
      <w:pPr>
        <w:pStyle w:val="ListBullet"/>
        <w:keepLines w:val="1"/>
        <w:keepNext w:val="1"/>
        <w:widowControl w:val="1"/>
      </w:pPr>
      <w:r>
        <w:t>[ ] Baja – se percibe como coste o requisito impuesto</w:t>
      </w:r>
    </w:p>
    <w:p>
      <w:pPr>
        <w:pStyle w:val="ListBullet"/>
        <w:keepLines w:val="1"/>
        <w:widowControl w:val="1"/>
      </w:pPr>
      <w:r>
        <w:t>[ ] Muy baja – “solo importa cuando algo se rompe”</w:t>
      </w:r>
    </w:p>
    <w:p>
      <w:pPr>
        <w:pStyle w:val="Heading2"/>
        <w:keepNext/>
        <w:keepLines/>
      </w:pPr>
      <w:r>
        <w:rPr>
          <w:color w:val="0066CC"/>
        </w:rPr>
        <w:t>Bloque 8. Inversión, ROI y priorización (IGM)</w:t>
      </w:r>
    </w:p>
    <w:p>
      <w:pPr>
        <w:pStyle w:val="ListNumber"/>
        <w:keepLines w:val="1"/>
        <w:keepNext w:val="1"/>
        <w:widowControl w:val="1"/>
      </w:pPr>
      <w:r>
        <w:br/>
        <w:t>Nivel aproximado de inversión anual en ciberseguridad (% del presupuesto de TI)</w:t>
        <w:br/>
        <w:br/>
        <w:t>[ ] &lt; 5 %</w:t>
        <w:br/>
        <w:t>[ ] 5–9 %</w:t>
        <w:br/>
        <w:t>[ ] 10–14 %</w:t>
        <w:br/>
        <w:t>[ ] ≥ 15 %</w:t>
        <w:br/>
        <w:t>[ ] Desconocido / no se desglosa a este nivel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Existencia de un modelo de medición del Retorno de la Inversión (ROI) en ciberseguridad</w:t>
        <w:br/>
        <w:br/>
        <w:t>[ ] Sí, se estima el ROI con base en reducción de pérdidas esperadas / incidentes evitados</w:t>
        <w:br/>
        <w:t>[ ] Sí, pero de forma parcial o experimental</w:t>
        <w:br/>
        <w:t>[ ] No, pero se está analizando implantarlo</w:t>
        <w:br/>
        <w:t>[ ] No, y no se considera prioritario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Uso de un Índice Global de Madurez (IGM) en ciberseguridad</w:t>
        <w:br/>
        <w:br/>
        <w:t>[ ] Sí, con metodología formal, escalas y objetivos</w:t>
        <w:br/>
        <w:t>[ ] Sí, pero de forma informal (puntuaciones internas sin metodología documentada)</w:t>
        <w:br/>
        <w:t>[ ] No, pero se está valorando</w:t>
        <w:br/>
        <w:t>[ ] No se utiliza ni se prevé utilizar un IGM</w:t>
        <w:br/>
        <w:br/>
      </w:r>
    </w:p>
    <w:p>
      <w:pPr>
        <w:pStyle w:val="ListNumber"/>
        <w:keepLines w:val="1"/>
        <w:widowControl w:val="1"/>
      </w:pPr>
      <w:r>
        <w:br/>
        <w:t>Influencia de incidentes recientes (propios o de terceros) en el aumento de la inversión</w:t>
        <w:br/>
        <w:br/>
        <w:t>[ ] La inversión ha aumentado claramente tras incidentes recientes propios</w:t>
        <w:br/>
        <w:t>[ ] La inversión ha aumentado tras incidentes mediáticos en el sector</w:t>
        <w:br/>
        <w:t>[ ] La inversión se ha mantenido estable independientemente de los incidentes</w:t>
        <w:br/>
        <w:t>[ ] La inversión se ha reducido</w:t>
        <w:br/>
        <w:br/>
      </w:r>
    </w:p>
    <w:p>
      <w:r>
        <w:rPr>
          <w:b/>
        </w:rPr>
        <w:t>Nivel aproximado de inversión anual en ciberseguridad (% del presupuesto de TI)</w:t>
      </w:r>
    </w:p>
    <w:p>
      <w:pPr>
        <w:pStyle w:val="ListBullet"/>
        <w:keepLines w:val="1"/>
        <w:keepNext w:val="1"/>
        <w:widowControl w:val="1"/>
      </w:pPr>
      <w:r>
        <w:t>[ ] &lt; 5 %</w:t>
      </w:r>
    </w:p>
    <w:p>
      <w:pPr>
        <w:pStyle w:val="ListBullet"/>
        <w:keepLines w:val="1"/>
        <w:keepNext w:val="1"/>
        <w:widowControl w:val="1"/>
      </w:pPr>
      <w:r>
        <w:t>[ ] 5–9 %</w:t>
      </w:r>
    </w:p>
    <w:p>
      <w:pPr>
        <w:pStyle w:val="ListBullet"/>
        <w:keepLines w:val="1"/>
        <w:keepNext w:val="1"/>
        <w:widowControl w:val="1"/>
      </w:pPr>
      <w:r>
        <w:t>[ ] 10–14 %</w:t>
      </w:r>
    </w:p>
    <w:p>
      <w:pPr>
        <w:pStyle w:val="ListBullet"/>
        <w:keepLines w:val="1"/>
        <w:keepNext w:val="1"/>
        <w:widowControl w:val="1"/>
      </w:pPr>
      <w:r>
        <w:t>[ ] ≥ 15 %</w:t>
      </w:r>
    </w:p>
    <w:p>
      <w:pPr>
        <w:pStyle w:val="ListBullet"/>
        <w:keepLines w:val="1"/>
        <w:widowControl w:val="1"/>
      </w:pPr>
      <w:r>
        <w:t>[ ] Desconocido / no se desglosa a este nivel</w:t>
      </w:r>
    </w:p>
    <w:p>
      <w:r>
        <w:rPr>
          <w:b/>
        </w:rPr>
        <w:t>Existencia de un modelo de medición del Retorno de la Inversión (ROI) en ciberseguridad</w:t>
      </w:r>
    </w:p>
    <w:p>
      <w:pPr>
        <w:pStyle w:val="ListBullet"/>
        <w:keepLines w:val="1"/>
        <w:keepNext w:val="1"/>
        <w:widowControl w:val="1"/>
      </w:pPr>
      <w:r>
        <w:t>[ ] Sí, se estima el ROI con base en reducción de pérdidas esperadas / incidentes evitados</w:t>
      </w:r>
    </w:p>
    <w:p>
      <w:pPr>
        <w:pStyle w:val="ListBullet"/>
        <w:keepLines w:val="1"/>
        <w:keepNext w:val="1"/>
        <w:widowControl w:val="1"/>
      </w:pPr>
      <w:r>
        <w:t>[ ] Sí, pero de forma parcial o experimental</w:t>
      </w:r>
    </w:p>
    <w:p>
      <w:pPr>
        <w:pStyle w:val="ListBullet"/>
        <w:keepLines w:val="1"/>
        <w:keepNext w:val="1"/>
        <w:widowControl w:val="1"/>
      </w:pPr>
      <w:r>
        <w:t>[ ] No, pero se está analizando implantarlo</w:t>
      </w:r>
    </w:p>
    <w:p>
      <w:pPr>
        <w:pStyle w:val="ListBullet"/>
        <w:keepLines w:val="1"/>
        <w:widowControl w:val="1"/>
      </w:pPr>
      <w:r>
        <w:t>[ ] No, y no se considera prioritario</w:t>
      </w:r>
    </w:p>
    <w:p>
      <w:r>
        <w:rPr>
          <w:b/>
        </w:rPr>
        <w:t>Uso de un Índice Global de Madurez (IGM) en ciberseguridad</w:t>
      </w:r>
    </w:p>
    <w:p>
      <w:pPr>
        <w:pStyle w:val="ListBullet"/>
        <w:keepLines w:val="1"/>
        <w:keepNext w:val="1"/>
        <w:widowControl w:val="1"/>
      </w:pPr>
      <w:r>
        <w:t>[ ] Sí, con metodología formal, escalas y objetivos</w:t>
      </w:r>
    </w:p>
    <w:p>
      <w:pPr>
        <w:pStyle w:val="ListBullet"/>
        <w:keepLines w:val="1"/>
        <w:keepNext w:val="1"/>
        <w:widowControl w:val="1"/>
      </w:pPr>
      <w:r>
        <w:t>[ ] Sí, pero de forma informal (puntuaciones internas sin metodología documentada)</w:t>
      </w:r>
    </w:p>
    <w:p>
      <w:pPr>
        <w:pStyle w:val="ListBullet"/>
        <w:keepLines w:val="1"/>
        <w:keepNext w:val="1"/>
        <w:widowControl w:val="1"/>
      </w:pPr>
      <w:r>
        <w:t>[ ] No, pero se está valorando</w:t>
      </w:r>
    </w:p>
    <w:p>
      <w:pPr>
        <w:pStyle w:val="ListBullet"/>
        <w:keepLines w:val="1"/>
        <w:widowControl w:val="1"/>
      </w:pPr>
      <w:r>
        <w:t>[ ] No se utiliza ni se prevé utilizar un IGM</w:t>
      </w:r>
    </w:p>
    <w:p>
      <w:r>
        <w:rPr>
          <w:b/>
        </w:rPr>
        <w:t>Influencia de incidentes recientes (propios o de terceros) en el aumento de la inversión</w:t>
      </w:r>
    </w:p>
    <w:p>
      <w:pPr>
        <w:pStyle w:val="ListBullet"/>
        <w:keepLines w:val="1"/>
        <w:keepNext w:val="1"/>
        <w:widowControl w:val="1"/>
      </w:pPr>
      <w:r>
        <w:t>[ ] La inversión ha aumentado claramente tras incidentes recientes propios</w:t>
      </w:r>
    </w:p>
    <w:p>
      <w:pPr>
        <w:pStyle w:val="ListBullet"/>
        <w:keepLines w:val="1"/>
        <w:keepNext w:val="1"/>
        <w:widowControl w:val="1"/>
      </w:pPr>
      <w:r>
        <w:t>[ ] La inversión ha aumentado tras incidentes mediáticos en el sector</w:t>
      </w:r>
    </w:p>
    <w:p>
      <w:pPr>
        <w:pStyle w:val="ListBullet"/>
        <w:keepLines w:val="1"/>
        <w:keepNext w:val="1"/>
        <w:widowControl w:val="1"/>
      </w:pPr>
      <w:r>
        <w:t>[ ] La inversión se ha mantenido estable independientemente de los incidentes</w:t>
      </w:r>
    </w:p>
    <w:p>
      <w:pPr>
        <w:pStyle w:val="ListBullet"/>
        <w:keepLines w:val="1"/>
        <w:widowControl w:val="1"/>
      </w:pPr>
      <w:r>
        <w:t>[ ] La inversión se ha reducido</w:t>
      </w:r>
    </w:p>
    <w:p>
      <w:pPr>
        <w:pStyle w:val="Heading2"/>
        <w:keepNext/>
        <w:keepLines/>
      </w:pPr>
      <w:r>
        <w:rPr>
          <w:color w:val="0066CC"/>
        </w:rPr>
        <w:t>Bloque 9. Colaboración, ejercicios conjuntos y lecciones aprendidas</w:t>
      </w:r>
    </w:p>
    <w:p>
      <w:pPr>
        <w:pStyle w:val="ListNumber"/>
        <w:keepLines w:val="1"/>
        <w:keepNext w:val="1"/>
        <w:widowControl w:val="1"/>
      </w:pPr>
      <w:r>
        <w:br/>
        <w:t>Participación en ejercicios conjuntos con otros actores (públicos o privados)</w:t>
        <w:br/>
        <w:br/>
        <w:t>[ ] Ejercicios sectoriales organizados por reguladores o asociaciones</w:t>
        <w:br/>
        <w:t>[ ] Ejercicios organizados por INCIBE / CCN‑CERT</w:t>
        <w:br/>
        <w:t>[ ] Ejercicios bilaterales con proveedores clave</w:t>
        <w:br/>
        <w:t>[ ] No se participa en ejercicios conjuntos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Frecuencia de campañas de prueba (red team / purple team) enfocadas en APT</w:t>
        <w:br/>
        <w:br/>
        <w:t>[ ] Al menos anual</w:t>
        <w:br/>
        <w:t>[ ] Cada 2–3 años</w:t>
        <w:br/>
        <w:t>[ ] Solo tras incidentes relevantes</w:t>
        <w:br/>
        <w:t>[ ] No se realizan este tipo de ejercicios</w:t>
        <w:br/>
        <w:br/>
      </w:r>
    </w:p>
    <w:p>
      <w:pPr>
        <w:pStyle w:val="ListNumber"/>
        <w:keepLines w:val="1"/>
        <w:widowControl w:val="1"/>
      </w:pPr>
      <w:r>
        <w:br/>
        <w:t>Gestión de lecciones aprendidas tras incidentes o simulacros</w:t>
        <w:br/>
        <w:br/>
        <w:t>[ ] Se documentan, se asignan acciones y se verifican cierres</w:t>
        <w:br/>
        <w:t>[ ] Se documentan parcialmente, sin seguimiento sistemático</w:t>
        <w:br/>
        <w:t>[ ] Se comparten informalmente, sin registro formal</w:t>
        <w:br/>
        <w:t>[ ] No se gestionan de manera estructurada</w:t>
        <w:br/>
        <w:br/>
      </w:r>
    </w:p>
    <w:p>
      <w:r>
        <w:rPr>
          <w:b/>
        </w:rPr>
        <w:t>Participación en ejercicios conjuntos con otros actores (públicos o privados)</w:t>
      </w:r>
    </w:p>
    <w:p>
      <w:pPr>
        <w:pStyle w:val="ListBullet"/>
        <w:keepLines w:val="1"/>
        <w:keepNext w:val="1"/>
        <w:widowControl w:val="1"/>
      </w:pPr>
      <w:r>
        <w:t>[ ] Ejercicios sectoriales organizados por reguladores o asociaciones</w:t>
      </w:r>
    </w:p>
    <w:p>
      <w:pPr>
        <w:pStyle w:val="ListBullet"/>
        <w:keepLines w:val="1"/>
        <w:keepNext w:val="1"/>
        <w:widowControl w:val="1"/>
      </w:pPr>
      <w:r>
        <w:t>[ ] Ejercicios organizados por INCIBE / CCN‑CERT</w:t>
      </w:r>
    </w:p>
    <w:p>
      <w:pPr>
        <w:pStyle w:val="ListBullet"/>
        <w:keepLines w:val="1"/>
        <w:keepNext w:val="1"/>
        <w:widowControl w:val="1"/>
      </w:pPr>
      <w:r>
        <w:t>[ ] Ejercicios bilaterales con proveedores clave</w:t>
      </w:r>
    </w:p>
    <w:p>
      <w:pPr>
        <w:pStyle w:val="ListBullet"/>
        <w:keepLines w:val="1"/>
        <w:widowControl w:val="1"/>
      </w:pPr>
      <w:r>
        <w:t>[ ] No se participa en ejercicios conjuntos</w:t>
      </w:r>
    </w:p>
    <w:p>
      <w:r>
        <w:rPr>
          <w:b/>
        </w:rPr>
        <w:t>Frecuencia de campañas de prueba (red team / purple team) enfocadas en APT</w:t>
      </w:r>
    </w:p>
    <w:p>
      <w:pPr>
        <w:pStyle w:val="ListBullet"/>
        <w:keepLines w:val="1"/>
        <w:keepNext w:val="1"/>
        <w:widowControl w:val="1"/>
      </w:pPr>
      <w:r>
        <w:t>[ ] Al menos anual</w:t>
      </w:r>
    </w:p>
    <w:p>
      <w:pPr>
        <w:pStyle w:val="ListBullet"/>
        <w:keepLines w:val="1"/>
        <w:keepNext w:val="1"/>
        <w:widowControl w:val="1"/>
      </w:pPr>
      <w:r>
        <w:t>[ ] Cada 2–3 años</w:t>
      </w:r>
    </w:p>
    <w:p>
      <w:pPr>
        <w:pStyle w:val="ListBullet"/>
        <w:keepLines w:val="1"/>
        <w:keepNext w:val="1"/>
        <w:widowControl w:val="1"/>
      </w:pPr>
      <w:r>
        <w:t>[ ] Solo tras incidentes relevantes</w:t>
      </w:r>
    </w:p>
    <w:p>
      <w:pPr>
        <w:pStyle w:val="ListBullet"/>
        <w:keepLines w:val="1"/>
        <w:widowControl w:val="1"/>
      </w:pPr>
      <w:r>
        <w:t>[ ] No se realizan este tipo de ejercicios</w:t>
      </w:r>
    </w:p>
    <w:p>
      <w:r>
        <w:rPr>
          <w:b/>
        </w:rPr>
        <w:t>Gestión de lecciones aprendidas tras incidentes o simulacros</w:t>
      </w:r>
    </w:p>
    <w:p>
      <w:pPr>
        <w:pStyle w:val="ListBullet"/>
        <w:keepLines w:val="1"/>
        <w:keepNext w:val="1"/>
        <w:widowControl w:val="1"/>
      </w:pPr>
      <w:r>
        <w:t>[ ] Se documentan, se asignan acciones y se verifican cierres</w:t>
      </w:r>
    </w:p>
    <w:p>
      <w:pPr>
        <w:pStyle w:val="ListBullet"/>
        <w:keepLines w:val="1"/>
        <w:keepNext w:val="1"/>
        <w:widowControl w:val="1"/>
      </w:pPr>
      <w:r>
        <w:t>[ ] Se documentan parcialmente, sin seguimiento sistemático</w:t>
      </w:r>
    </w:p>
    <w:p>
      <w:pPr>
        <w:pStyle w:val="ListBullet"/>
        <w:keepLines w:val="1"/>
        <w:keepNext w:val="1"/>
        <w:widowControl w:val="1"/>
      </w:pPr>
      <w:r>
        <w:t>[ ] Se comparten informalmente, sin registro formal</w:t>
      </w:r>
    </w:p>
    <w:p>
      <w:pPr>
        <w:pStyle w:val="ListBullet"/>
        <w:keepLines w:val="1"/>
        <w:widowControl w:val="1"/>
      </w:pPr>
      <w:r>
        <w:t>[ ] No se gestionan de manera estructurada</w:t>
      </w:r>
    </w:p>
    <w:p>
      <w:pPr>
        <w:pStyle w:val="Heading2"/>
        <w:keepNext/>
        <w:keepLines/>
      </w:pPr>
      <w:r>
        <w:rPr>
          <w:color w:val="0066CC"/>
        </w:rPr>
        <w:t>Bloque 10. Visión de futuro</w:t>
      </w:r>
    </w:p>
    <w:p>
      <w:pPr>
        <w:pStyle w:val="ListNumber"/>
        <w:keepLines w:val="1"/>
        <w:keepNext w:val="1"/>
        <w:widowControl w:val="1"/>
      </w:pPr>
      <w:r>
        <w:br/>
        <w:t>Expectativas sobre la evolución de las APT en los próximos 3 años</w:t>
        <w:br/>
        <w:br/>
        <w:t>[ ] Aumento significativo en volumen y sofisticación</w:t>
        <w:br/>
        <w:t>[ ] Aumento moderado</w:t>
        <w:br/>
        <w:t>[ ] Estabilidad relativa</w:t>
        <w:br/>
        <w:t>[ ] Disminución (optimismo antropológico)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Prioridades de inversión para mejorar la defensa frente a APT (marque hasta 3)</w:t>
        <w:br/>
        <w:br/>
        <w:t>[ ] Refuerzo de capacidades de detección (SOC, SIEM, EDR/XDR, NDR)</w:t>
        <w:br/>
        <w:t>[ ] Mejora de la gestión de vulnerabilidades y parcheo</w:t>
        <w:br/>
        <w:t>[ ] Fortalecimiento de la cadena de suministro digital</w:t>
        <w:br/>
        <w:t>[ ] Programas de concienciación y cultura de seguridad</w:t>
        <w:br/>
        <w:t>[ ] Automatización de respuesta (SOAR, playbooks, orquestación)</w:t>
        <w:br/>
        <w:t>[ ] Inteligencia de amenazas específica para APT</w:t>
        <w:br/>
        <w:t>[ ] Refuerzo de continuidad de negocio y recuperación ante desastres</w:t>
        <w:br/>
        <w:t>[ ] Otros (especificar): ______</w:t>
        <w:br/>
        <w:br/>
      </w:r>
    </w:p>
    <w:p>
      <w:pPr>
        <w:pStyle w:val="ListNumber"/>
        <w:keepLines w:val="1"/>
        <w:widowControl w:val="1"/>
      </w:pPr>
      <w:r>
        <w:br/>
        <w:t>Comentario abierto</w:t>
        <w:br/>
      </w:r>
    </w:p>
    <w:p>
      <w:r>
        <w:rPr>
          <w:b/>
        </w:rPr>
        <w:t>Expectativas sobre la evolución de las APT en los próximos 3 años</w:t>
      </w:r>
    </w:p>
    <w:p>
      <w:pPr>
        <w:pStyle w:val="ListBullet"/>
        <w:keepLines w:val="1"/>
        <w:keepNext w:val="1"/>
        <w:widowControl w:val="1"/>
      </w:pPr>
      <w:r>
        <w:t>[ ] Aumento significativo en volumen y sofisticación</w:t>
      </w:r>
    </w:p>
    <w:p>
      <w:pPr>
        <w:pStyle w:val="ListBullet"/>
        <w:keepLines w:val="1"/>
        <w:keepNext w:val="1"/>
        <w:widowControl w:val="1"/>
      </w:pPr>
      <w:r>
        <w:t>[ ] Aumento moderado</w:t>
      </w:r>
    </w:p>
    <w:p>
      <w:pPr>
        <w:pStyle w:val="ListBullet"/>
        <w:keepLines w:val="1"/>
        <w:keepNext w:val="1"/>
        <w:widowControl w:val="1"/>
      </w:pPr>
      <w:r>
        <w:t>[ ] Estabilidad relativa</w:t>
      </w:r>
    </w:p>
    <w:p>
      <w:pPr>
        <w:pStyle w:val="ListBullet"/>
        <w:keepLines w:val="1"/>
        <w:widowControl w:val="1"/>
      </w:pPr>
      <w:r>
        <w:t>[ ] Disminución (optimismo antropológico)</w:t>
      </w:r>
    </w:p>
    <w:p>
      <w:r>
        <w:rPr>
          <w:b/>
        </w:rPr>
        <w:t>Prioridades de inversión para mejorar la defensa frente a APT</w:t>
      </w:r>
      <w:r>
        <w:t xml:space="preserve"> (marque hasta 3)</w:t>
      </w:r>
    </w:p>
    <w:p>
      <w:pPr>
        <w:pStyle w:val="ListBullet"/>
        <w:keepLines w:val="1"/>
        <w:keepNext w:val="1"/>
        <w:widowControl w:val="1"/>
      </w:pPr>
      <w:r>
        <w:t>[ ] Refuerzo de capacidades de detección (SOC, SIEM, EDR/XDR, NDR)</w:t>
      </w:r>
    </w:p>
    <w:p>
      <w:pPr>
        <w:pStyle w:val="ListBullet"/>
        <w:keepLines w:val="1"/>
        <w:keepNext w:val="1"/>
        <w:widowControl w:val="1"/>
      </w:pPr>
      <w:r>
        <w:t>[ ] Mejora de la gestión de vulnerabilidades y parcheo</w:t>
      </w:r>
    </w:p>
    <w:p>
      <w:pPr>
        <w:pStyle w:val="ListBullet"/>
        <w:keepLines w:val="1"/>
        <w:keepNext w:val="1"/>
        <w:widowControl w:val="1"/>
      </w:pPr>
      <w:r>
        <w:t>[ ] Fortalecimiento de la cadena de suministro digital</w:t>
      </w:r>
    </w:p>
    <w:p>
      <w:pPr>
        <w:pStyle w:val="ListBullet"/>
        <w:keepLines w:val="1"/>
        <w:keepNext w:val="1"/>
        <w:widowControl w:val="1"/>
      </w:pPr>
      <w:r>
        <w:t>[ ] Programas de concienciación y cultura de seguridad</w:t>
      </w:r>
    </w:p>
    <w:p>
      <w:pPr>
        <w:pStyle w:val="ListBullet"/>
        <w:keepLines w:val="1"/>
        <w:keepNext w:val="1"/>
        <w:widowControl w:val="1"/>
      </w:pPr>
      <w:r>
        <w:t>[ ] Automatización de respuesta (SOAR, playbooks, orquestación)</w:t>
      </w:r>
    </w:p>
    <w:p>
      <w:pPr>
        <w:pStyle w:val="ListBullet"/>
        <w:keepLines w:val="1"/>
        <w:keepNext w:val="1"/>
        <w:widowControl w:val="1"/>
      </w:pPr>
      <w:r>
        <w:t>[ ] Inteligencia de amenazas específica para APT</w:t>
      </w:r>
    </w:p>
    <w:p>
      <w:pPr>
        <w:pStyle w:val="ListBullet"/>
        <w:keepLines w:val="1"/>
        <w:keepNext w:val="1"/>
        <w:widowControl w:val="1"/>
      </w:pPr>
      <w:r>
        <w:t>[ ] Refuerzo de continuidad de negocio y recuperación ante desastres</w:t>
      </w:r>
    </w:p>
    <w:p>
      <w:pPr>
        <w:pStyle w:val="ListBullet"/>
        <w:keepLines w:val="1"/>
        <w:widowControl w:val="1"/>
      </w:pPr>
      <w:r>
        <w:t>[ ] Otros (especificar): ______</w:t>
      </w:r>
    </w:p>
    <w:p>
      <w:r>
        <w:rPr>
          <w:b/>
        </w:rPr>
        <w:t>Comentario abierto</w:t>
      </w:r>
    </w:p>
    <w:p>
      <w:r>
        <w:t>Utilice este espacio para expresar cualquier reflexión adicional, frustración catártica o propuesta visionaria sobre la situación de su organización frente a las APT.</w:t>
      </w:r>
    </w:p>
    <w:p>
      <w:r>
        <w:t>Gracias por su tiempo y por contribuir, al menos durante unos minutos, a que el universo de la ciberseguridad sea un poco más medible y un poco menos caótico.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