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Guía Metodológica Detallada de la Encuesta APT</w:t>
      </w:r>
    </w:p>
    <w:p>
      <w:pPr>
        <w:pStyle w:val="Heading2"/>
        <w:keepNext/>
        <w:keepLines/>
      </w:pPr>
      <w:r>
        <w:rPr>
          <w:color w:val="0066CC"/>
        </w:rPr>
        <w:t>1. Objetivo de la encuesta</w:t>
      </w:r>
    </w:p>
    <w:p>
      <w:r>
        <w:t>La encuesta tiene como objetivo medir el grado de madurez, preparación y resiliencia de las organizaciones frente a Amenazas Persistentes Avanzadas (APT), con especial foco en:</w:t>
      </w:r>
    </w:p>
    <w:p>
      <w:pPr>
        <w:pStyle w:val="ListBullet"/>
        <w:keepLines w:val="1"/>
        <w:keepNext w:val="1"/>
        <w:widowControl w:val="1"/>
      </w:pPr>
      <w:r>
        <w:t>Gobernanza y alineamiento con marcos normativos y de buenas prácticas (NIS2, NIST CSF, ISO 27001, MITRE ATT&amp;CK, CCN‑STIC, etc.).</w:t>
      </w:r>
    </w:p>
    <w:p>
      <w:pPr>
        <w:pStyle w:val="ListBullet"/>
        <w:keepLines w:val="1"/>
        <w:keepNext w:val="1"/>
        <w:widowControl w:val="1"/>
      </w:pPr>
      <w:r>
        <w:t>Gestión del riesgo APT, incluyendo la cuantificación económica y su integración en la continuidad de negocio.</w:t>
      </w:r>
    </w:p>
    <w:p>
      <w:pPr>
        <w:pStyle w:val="ListBullet"/>
        <w:keepLines w:val="1"/>
        <w:keepNext w:val="1"/>
        <w:widowControl w:val="1"/>
      </w:pPr>
      <w:r>
        <w:t>Indicadores y métricas operativas clave (MTTD, MTTR, MTTP, ratio de phishing, incidentes en la cadena de suministro, etc.).</w:t>
      </w:r>
    </w:p>
    <w:p>
      <w:pPr>
        <w:pStyle w:val="ListBullet"/>
        <w:keepLines w:val="1"/>
        <w:keepNext w:val="1"/>
        <w:widowControl w:val="1"/>
      </w:pPr>
      <w:r>
        <w:t>Capacidades de detección basadas en TTPs y marcos de inteligencia de amenazas.</w:t>
      </w:r>
    </w:p>
    <w:p>
      <w:pPr>
        <w:pStyle w:val="ListBullet"/>
        <w:keepLines w:val="1"/>
        <w:keepNext w:val="1"/>
        <w:widowControl w:val="1"/>
      </w:pPr>
      <w:r>
        <w:t>Capacidades de respuesta, recuperación, formación y cultura de seguridad.</w:t>
      </w:r>
    </w:p>
    <w:p>
      <w:pPr>
        <w:pStyle w:val="ListBullet"/>
        <w:keepLines w:val="1"/>
        <w:widowControl w:val="1"/>
      </w:pPr>
      <w:r>
        <w:t>Inversión y medición de retorno (ROI) y de madurez (IGM).</w:t>
      </w:r>
    </w:p>
    <w:p>
      <w:pPr>
        <w:pStyle w:val="Heading2"/>
        <w:keepNext/>
        <w:keepLines/>
      </w:pPr>
      <w:r>
        <w:rPr>
          <w:color w:val="0066CC"/>
        </w:rPr>
        <w:t>2. Población objetivo y muestreo</w:t>
      </w:r>
    </w:p>
    <w:p>
      <w:pPr>
        <w:pStyle w:val="ListBullet"/>
        <w:keepLines w:val="1"/>
        <w:keepNext w:val="1"/>
        <w:widowControl w:val="1"/>
      </w:pPr>
      <w:r>
        <w:t>Población objetivo: organizaciones con actividad en España, tanto públicas como privadas, de sectores críticos y no críticos, que dispongan de algún tipo de función de TI o ciberseguridad.</w:t>
      </w:r>
    </w:p>
    <w:p>
      <w:pPr>
        <w:pStyle w:val="ListBullet"/>
        <w:keepLines w:val="1"/>
        <w:keepNext w:val="1"/>
        <w:widowControl w:val="1"/>
      </w:pPr>
      <w:r>
        <w:t>Unidad de análisis: la organización, representada por persona clave (CISO, CIO, CTO, responsable de riesgo, responsable de continuidad de negocio, etc.).</w:t>
      </w:r>
    </w:p>
    <w:p>
      <w:pPr>
        <w:pStyle w:val="ListBullet"/>
        <w:keepLines w:val="1"/>
        <w:keepNext w:val="1"/>
        <w:widowControl w:val="1"/>
      </w:pPr>
      <w:r>
        <w:t>Muestreo: se recomienda un muestreo estratificado por sector y tamaño, asegurando representación de:</w:t>
      </w:r>
    </w:p>
    <w:p>
      <w:pPr>
        <w:pStyle w:val="ListBullet"/>
        <w:keepLines w:val="1"/>
        <w:keepNext w:val="1"/>
        <w:widowControl w:val="1"/>
      </w:pPr>
      <w:r>
        <w:t>Sector público (AGE, CCAA, EELL).</w:t>
      </w:r>
    </w:p>
    <w:p>
      <w:pPr>
        <w:pStyle w:val="ListBullet"/>
        <w:keepLines w:val="1"/>
        <w:keepNext w:val="1"/>
        <w:widowControl w:val="1"/>
      </w:pPr>
      <w:r>
        <w:t>Sectores esenciales según NIS2 (energía, transporte, salud, finanzas, TIC, etc.).</w:t>
      </w:r>
    </w:p>
    <w:p>
      <w:pPr>
        <w:pStyle w:val="ListBullet"/>
        <w:keepLines w:val="1"/>
        <w:widowControl w:val="1"/>
      </w:pPr>
      <w:r>
        <w:t>Pymes de sectores no regulados, pero relevantes para la cadena de suministro.</w:t>
      </w:r>
    </w:p>
    <w:p>
      <w:pPr>
        <w:pStyle w:val="Heading2"/>
        <w:keepNext/>
        <w:keepLines/>
      </w:pPr>
      <w:r>
        <w:rPr>
          <w:color w:val="0066CC"/>
        </w:rPr>
        <w:t>3. Estructura de la encuesta</w:t>
      </w:r>
    </w:p>
    <w:p>
      <w:r>
        <w:t>La encuesta se divide en diez bloques, cada uno orientado a un conjunto de dimensiones analíticas:</w:t>
      </w:r>
    </w:p>
    <w:p>
      <w:pPr>
        <w:pStyle w:val="ListNumber"/>
        <w:keepLines w:val="1"/>
        <w:keepNext w:val="1"/>
        <w:widowControl w:val="1"/>
      </w:pPr>
      <w:r>
        <w:t>Perfil de la organización.</w:t>
      </w:r>
    </w:p>
    <w:p>
      <w:pPr>
        <w:pStyle w:val="ListNumber"/>
        <w:keepLines w:val="1"/>
        <w:keepNext w:val="1"/>
        <w:widowControl w:val="1"/>
      </w:pPr>
      <w:r>
        <w:t>Gobernanza, estrategia y marco normativo.</w:t>
      </w:r>
    </w:p>
    <w:p>
      <w:pPr>
        <w:pStyle w:val="ListNumber"/>
        <w:keepLines w:val="1"/>
        <w:keepNext w:val="1"/>
        <w:widowControl w:val="1"/>
      </w:pPr>
      <w:r>
        <w:t>Gestión del riesgo APT y métricas estratégicas.</w:t>
      </w:r>
    </w:p>
    <w:p>
      <w:pPr>
        <w:pStyle w:val="ListNumber"/>
        <w:keepLines w:val="1"/>
        <w:keepNext w:val="1"/>
        <w:widowControl w:val="1"/>
      </w:pPr>
      <w:r>
        <w:t>Vectores de entrada: phishing, vulnerabilidades y cadena de suministro.</w:t>
      </w:r>
    </w:p>
    <w:p>
      <w:pPr>
        <w:pStyle w:val="ListNumber"/>
        <w:keepLines w:val="1"/>
        <w:keepNext w:val="1"/>
        <w:widowControl w:val="1"/>
      </w:pPr>
      <w:r>
        <w:t>Detección basada en TTPs y MITRE ATT&amp;CK.</w:t>
      </w:r>
    </w:p>
    <w:p>
      <w:pPr>
        <w:pStyle w:val="ListNumber"/>
        <w:keepLines w:val="1"/>
        <w:keepNext w:val="1"/>
        <w:widowControl w:val="1"/>
      </w:pPr>
      <w:r>
        <w:t>Respuesta a incidentes y recuperación.</w:t>
      </w:r>
    </w:p>
    <w:p>
      <w:pPr>
        <w:pStyle w:val="ListNumber"/>
        <w:keepLines w:val="1"/>
        <w:keepNext w:val="1"/>
        <w:widowControl w:val="1"/>
      </w:pPr>
      <w:r>
        <w:t>Formación, cultura y reporte.</w:t>
      </w:r>
    </w:p>
    <w:p>
      <w:pPr>
        <w:pStyle w:val="ListNumber"/>
        <w:keepLines w:val="1"/>
        <w:keepNext w:val="1"/>
        <w:widowControl w:val="1"/>
      </w:pPr>
      <w:r>
        <w:t>Inversión, ROI e Índice Global de Madurez (IGM).</w:t>
      </w:r>
    </w:p>
    <w:p>
      <w:pPr>
        <w:pStyle w:val="ListNumber"/>
        <w:keepLines w:val="1"/>
        <w:keepNext w:val="1"/>
        <w:widowControl w:val="1"/>
      </w:pPr>
      <w:r>
        <w:t>Colaboración, ejercicios conjuntos y lecciones aprendidas.</w:t>
      </w:r>
    </w:p>
    <w:p>
      <w:pPr>
        <w:pStyle w:val="ListNumber"/>
        <w:keepLines w:val="1"/>
        <w:widowControl w:val="1"/>
      </w:pPr>
      <w:r>
        <w:t>Visión de futuro.</w:t>
      </w:r>
    </w:p>
    <w:p>
      <w:r>
        <w:t>Cada bloque contiene preguntas cerradas (elección simple o múltiple) y, en ocasiones, escalas de madurez (0–3) para poder construir índices agregados.</w:t>
      </w:r>
    </w:p>
    <w:p>
      <w:pPr>
        <w:pStyle w:val="Heading2"/>
        <w:keepNext/>
        <w:keepLines/>
      </w:pPr>
      <w:r>
        <w:rPr>
          <w:color w:val="0066CC"/>
        </w:rPr>
        <w:t>4. Escalas de medición</w:t>
      </w:r>
    </w:p>
    <w:p>
      <w:r>
        <w:t>Se emplean principalmente tres tipos de escalas:</w:t>
      </w:r>
    </w:p>
    <w:p>
      <w:pPr>
        <w:pStyle w:val="ListNumber"/>
        <w:keepLines w:val="1"/>
        <w:keepNext w:val="1"/>
        <w:widowControl w:val="1"/>
      </w:pPr>
      <w:r>
        <w:t>Escalas dicotómicas / selección múltiple: permiten clasificar prácticas y situaciones.</w:t>
      </w:r>
    </w:p>
    <w:p>
      <w:pPr>
        <w:pStyle w:val="ListNumber"/>
        <w:keepLines w:val="1"/>
        <w:keepNext w:val="1"/>
        <w:widowControl w:val="1"/>
      </w:pPr>
      <w:r>
        <w:t>Escalas de madurez de 0 a 3:</w:t>
      </w:r>
    </w:p>
    <w:p>
      <w:pPr>
        <w:pStyle w:val="ListNumber"/>
        <w:keepLines w:val="1"/>
        <w:keepNext w:val="1"/>
        <w:widowControl w:val="1"/>
      </w:pPr>
      <w:r>
        <w:t>0 = No existe / no se utiliza / no se mide.</w:t>
      </w:r>
    </w:p>
    <w:p>
      <w:pPr>
        <w:pStyle w:val="ListNumber"/>
        <w:keepLines w:val="1"/>
        <w:keepNext w:val="1"/>
        <w:widowControl w:val="1"/>
      </w:pPr>
      <w:r>
        <w:t>1 = Existe de forma incipiente, informal o limitada.</w:t>
      </w:r>
    </w:p>
    <w:p>
      <w:pPr>
        <w:pStyle w:val="ListNumber"/>
        <w:keepLines w:val="1"/>
        <w:keepNext w:val="1"/>
        <w:widowControl w:val="1"/>
      </w:pPr>
      <w:r>
        <w:t>2 = Existe de forma sistemática pero con integración parcial.</w:t>
      </w:r>
    </w:p>
    <w:p>
      <w:pPr>
        <w:pStyle w:val="ListNumber"/>
        <w:keepLines w:val="1"/>
        <w:keepNext w:val="1"/>
        <w:widowControl w:val="1"/>
      </w:pPr>
      <w:r>
        <w:t>3 = Existe de forma sistemática, integrada y dirigida por objetivos.</w:t>
      </w:r>
    </w:p>
    <w:p>
      <w:pPr>
        <w:pStyle w:val="ListNumber"/>
        <w:keepLines w:val="1"/>
        <w:widowControl w:val="1"/>
      </w:pPr>
      <w:r>
        <w:t>Escalas ordinales (intervalos, rangos): para inversión (%), frecuencia, etc.</w:t>
      </w:r>
    </w:p>
    <w:p>
      <w:r>
        <w:t>Estas escalas permiten el cálculo posterior de indicadores compuestos y de un Índice Global de Madurez (IGM) por bloque y global.</w:t>
      </w:r>
    </w:p>
    <w:p>
      <w:pPr>
        <w:pStyle w:val="Heading2"/>
        <w:keepNext/>
        <w:keepLines/>
      </w:pPr>
      <w:r>
        <w:rPr>
          <w:color w:val="0066CC"/>
        </w:rPr>
        <w:t>5. Cálculo del Índice Global de Madurez (IGM)</w:t>
      </w:r>
    </w:p>
    <w:p>
      <w:pPr>
        <w:pStyle w:val="Heading3"/>
        <w:keepNext/>
        <w:keepLines/>
      </w:pPr>
      <w:r>
        <w:t>5.1. Definición</w:t>
      </w:r>
    </w:p>
    <w:p>
      <w:r>
        <w:t>El IGM es un indicador sintético que resume el nivel de madurez de una organización frente a las APT, integrando múltiples dimensiones: gobernanza, riesgo, métricas, detección, respuesta, cultura e inversión.</w:t>
      </w:r>
    </w:p>
    <w:p>
      <w:pPr>
        <w:pStyle w:val="Heading3"/>
        <w:keepNext/>
        <w:keepLines/>
      </w:pPr>
      <w:r>
        <w:t>5.2. Asignación de puntuaciones</w:t>
      </w:r>
    </w:p>
    <w:p>
      <w:r>
        <w:t>Cada pregunta con escala de madurez (0–3) contribuye al IGM con su valor directo. Para preguntas categóricas, se asignan valores según un esquema predefinido. Por ejemplo:</w:t>
      </w:r>
    </w:p>
    <w:p>
      <w:pPr>
        <w:pStyle w:val="ListBullet"/>
        <w:keepLines w:val="1"/>
        <w:keepNext w:val="1"/>
        <w:widowControl w:val="1"/>
      </w:pPr>
      <w:r>
        <w:t>Estrategia formal de ciberseguridad (pregunta 6):</w:t>
      </w:r>
    </w:p>
    <w:p>
      <w:pPr>
        <w:pStyle w:val="ListBullet"/>
        <w:keepLines w:val="1"/>
        <w:keepNext w:val="1"/>
        <w:widowControl w:val="1"/>
      </w:pPr>
      <w:r>
        <w:t>Aprobada por el máximo órgano de gobierno: 3</w:t>
      </w:r>
    </w:p>
    <w:p>
      <w:pPr>
        <w:pStyle w:val="ListBullet"/>
        <w:keepLines w:val="1"/>
        <w:keepNext w:val="1"/>
        <w:widowControl w:val="1"/>
      </w:pPr>
      <w:r>
        <w:t>Aprobada a nivel de dirección intermedia: 2</w:t>
      </w:r>
    </w:p>
    <w:p>
      <w:pPr>
        <w:pStyle w:val="ListBullet"/>
        <w:keepLines w:val="1"/>
        <w:keepNext w:val="1"/>
        <w:widowControl w:val="1"/>
      </w:pPr>
      <w:r>
        <w:t>En elaboración: 1</w:t>
      </w:r>
    </w:p>
    <w:p>
      <w:pPr>
        <w:pStyle w:val="ListBullet"/>
        <w:keepLines w:val="1"/>
        <w:keepNext w:val="1"/>
        <w:widowControl w:val="1"/>
      </w:pPr>
      <w:r>
        <w:br/>
        <w:t>No formalizada: 0</w:t>
        <w:br/>
      </w:r>
    </w:p>
    <w:p>
      <w:pPr>
        <w:pStyle w:val="ListBullet"/>
        <w:keepLines w:val="1"/>
        <w:keepNext w:val="1"/>
        <w:widowControl w:val="1"/>
      </w:pPr>
      <w:r>
        <w:br/>
        <w:t>Integración del riesgo APT en la continuidad de negocio (pregunta 15):</w:t>
        <w:br/>
      </w:r>
    </w:p>
    <w:p>
      <w:pPr>
        <w:pStyle w:val="ListBullet"/>
        <w:keepLines w:val="1"/>
        <w:keepNext w:val="1"/>
        <w:widowControl w:val="1"/>
      </w:pPr>
      <w:r>
        <w:t>Totalmente integrado: 3</w:t>
      </w:r>
    </w:p>
    <w:p>
      <w:pPr>
        <w:pStyle w:val="ListBullet"/>
        <w:keepLines w:val="1"/>
        <w:keepNext w:val="1"/>
        <w:widowControl w:val="1"/>
      </w:pPr>
      <w:r>
        <w:t>Parcialmente integrado: 2</w:t>
      </w:r>
    </w:p>
    <w:p>
      <w:pPr>
        <w:pStyle w:val="ListBullet"/>
        <w:keepLines w:val="1"/>
        <w:keepNext w:val="1"/>
        <w:widowControl w:val="1"/>
      </w:pPr>
      <w:r>
        <w:t>Mencionado sin desarrollo: 1</w:t>
      </w:r>
    </w:p>
    <w:p>
      <w:pPr>
        <w:pStyle w:val="ListBullet"/>
        <w:keepLines w:val="1"/>
        <w:widowControl w:val="1"/>
      </w:pPr>
      <w:r>
        <w:t>No integrado: 0</w:t>
      </w:r>
    </w:p>
    <w:p>
      <w:r>
        <w:t>No formalizada: 0</w:t>
      </w:r>
    </w:p>
    <w:p>
      <w:r>
        <w:t>Integración del riesgo APT en la continuidad de negocio (pregunta 15):</w:t>
      </w:r>
    </w:p>
    <w:p>
      <w:pPr>
        <w:pStyle w:val="Heading3"/>
        <w:keepNext/>
        <w:keepLines/>
      </w:pPr>
      <w:r>
        <w:t>5.3. Fórmula general</w:t>
      </w:r>
    </w:p>
    <w:p>
      <w:pPr>
        <w:pStyle w:val="ListNumber"/>
        <w:keepLines w:val="1"/>
        <w:widowControl w:val="1"/>
      </w:pPr>
      <w:r>
        <w:t>Cálculo de subíndices de bloque</w:t>
      </w:r>
    </w:p>
    <w:p>
      <w:r>
        <w:t xml:space="preserve">Para cada bloque </w:t>
      </w:r>
      <w:r>
        <w:rPr>
          <w:i/>
        </w:rPr>
        <w:t>b</w:t>
      </w:r>
      <w:r>
        <w:t>, se calcula un subíndice IGM_b como:</w:t>
      </w:r>
    </w:p>
    <w:p>
      <w:r>
        <w:t>IGM_b = (Suma de puntuaciones de preguntas del bloque) / (Número de preguntas puntuables del bloque * 3)</w:t>
      </w:r>
    </w:p>
    <w:p>
      <w:r>
        <w:t>El resultado está entre 0 y 1.</w:t>
      </w:r>
    </w:p>
    <w:p>
      <w:pPr>
        <w:pStyle w:val="ListNumber"/>
        <w:keepLines w:val="1"/>
        <w:widowControl w:val="1"/>
      </w:pPr>
      <w:r>
        <w:t>Cálculo del IGM global</w:t>
      </w:r>
    </w:p>
    <w:p>
      <w:r>
        <w:t>El IGM global puede calcularse como media ponderada de los subíndices de bloque:</w:t>
      </w:r>
    </w:p>
    <w:p>
      <w:r>
        <w:t>IGM_global = Σ (IGM_b * w_b)</w:t>
      </w:r>
    </w:p>
    <w:p>
      <w:r>
        <w:t xml:space="preserve">Donde </w:t>
      </w:r>
      <w:r>
        <w:rPr>
          <w:i/>
        </w:rPr>
        <w:t>w_b</w:t>
      </w:r>
      <w:r>
        <w:t xml:space="preserve"> son los pesos para cada bloque (por defecto, iguales; opcionalmente, se puede dar más peso a detección y respuesta).</w:t>
      </w:r>
    </w:p>
    <w:p>
      <w:pPr>
        <w:pStyle w:val="Heading3"/>
        <w:keepNext/>
        <w:keepLines/>
      </w:pPr>
      <w:r>
        <w:t>5.4. Interpretación</w:t>
      </w:r>
    </w:p>
    <w:p>
      <w:pPr>
        <w:pStyle w:val="ListBullet"/>
        <w:keepLines w:val="1"/>
        <w:keepNext w:val="1"/>
        <w:widowControl w:val="1"/>
      </w:pPr>
      <w:r>
        <w:t>0,00–0,25: Madurez inicial / reactiva.</w:t>
      </w:r>
    </w:p>
    <w:p>
      <w:pPr>
        <w:pStyle w:val="ListBullet"/>
        <w:keepLines w:val="1"/>
        <w:keepNext w:val="1"/>
        <w:widowControl w:val="1"/>
      </w:pPr>
      <w:r>
        <w:t>0,26–0,50: Madurez básica / en desarrollo.</w:t>
      </w:r>
    </w:p>
    <w:p>
      <w:pPr>
        <w:pStyle w:val="ListBullet"/>
        <w:keepLines w:val="1"/>
        <w:keepNext w:val="1"/>
        <w:widowControl w:val="1"/>
      </w:pPr>
      <w:r>
        <w:t>0,51–0,75: Madurez intermedia / gestionada.</w:t>
      </w:r>
    </w:p>
    <w:p>
      <w:pPr>
        <w:pStyle w:val="ListBullet"/>
        <w:keepLines w:val="1"/>
        <w:widowControl w:val="1"/>
      </w:pPr>
      <w:r>
        <w:t>0,76–1,00: Madurez avanzada / optimizada.</w:t>
      </w:r>
    </w:p>
    <w:p>
      <w:pPr>
        <w:pStyle w:val="Heading2"/>
        <w:keepNext/>
        <w:keepLines/>
      </w:pPr>
      <w:r>
        <w:rPr>
          <w:color w:val="0066CC"/>
        </w:rPr>
        <w:t>6. Cálculo del ROI de ciberseguridad</w:t>
      </w:r>
    </w:p>
    <w:p>
      <w:pPr>
        <w:pStyle w:val="Heading3"/>
        <w:keepNext/>
        <w:keepLines/>
      </w:pPr>
      <w:r>
        <w:t>6.1. Planteamiento</w:t>
      </w:r>
    </w:p>
    <w:p>
      <w:r>
        <w:t>El ROI (Return on Investment) en ciberseguridad se puede aproximar relacionando:</w:t>
      </w:r>
    </w:p>
    <w:p>
      <w:pPr>
        <w:pStyle w:val="ListBullet"/>
        <w:keepLines w:val="1"/>
        <w:keepNext w:val="1"/>
        <w:widowControl w:val="1"/>
      </w:pPr>
      <w:r>
        <w:t>Las inversiones realizadas en controles de seguridad.</w:t>
      </w:r>
    </w:p>
    <w:p>
      <w:pPr>
        <w:pStyle w:val="ListBullet"/>
        <w:keepLines w:val="1"/>
        <w:widowControl w:val="1"/>
      </w:pPr>
      <w:r>
        <w:t>La reducción en pérdidas esperadas (por incidentes evitados o mitigados).</w:t>
      </w:r>
    </w:p>
    <w:p>
      <w:pPr>
        <w:pStyle w:val="Heading3"/>
        <w:keepNext/>
        <w:keepLines/>
      </w:pPr>
      <w:r>
        <w:t>6.2. Variables básicas</w:t>
      </w:r>
    </w:p>
    <w:p>
      <w:pPr>
        <w:pStyle w:val="ListBullet"/>
        <w:keepLines w:val="1"/>
        <w:keepNext w:val="1"/>
        <w:widowControl w:val="1"/>
      </w:pPr>
      <w:r>
        <w:t>INV: Inversión anual en ciberseguridad.</w:t>
      </w:r>
    </w:p>
    <w:p>
      <w:pPr>
        <w:pStyle w:val="ListBullet"/>
        <w:keepLines w:val="1"/>
        <w:keepNext w:val="1"/>
        <w:widowControl w:val="1"/>
      </w:pPr>
      <w:r>
        <w:t>PLA_0: Pérdida esperada anual antes de las mejoras (baseline), estimada a partir de incidentes históricos o benchmarks.</w:t>
      </w:r>
    </w:p>
    <w:p>
      <w:pPr>
        <w:pStyle w:val="ListBullet"/>
        <w:keepLines w:val="1"/>
        <w:widowControl w:val="1"/>
      </w:pPr>
      <w:r>
        <w:t>PLA_1: Pérdida esperada anual después de las mejoras.</w:t>
      </w:r>
    </w:p>
    <w:p>
      <w:pPr>
        <w:pStyle w:val="Heading3"/>
        <w:keepNext/>
        <w:keepLines/>
      </w:pPr>
      <w:r>
        <w:t>6.3. Fórmula simplificada de ROI</w:t>
      </w:r>
    </w:p>
    <w:p>
      <w:r>
        <w:t>ROI_ciber = (PLA_0 - PLA_1 - INV) / INV</w:t>
      </w:r>
    </w:p>
    <w:p>
      <w:pPr>
        <w:pStyle w:val="ListBullet"/>
        <w:keepLines w:val="1"/>
        <w:keepNext w:val="1"/>
        <w:widowControl w:val="1"/>
      </w:pPr>
      <w:r>
        <w:t>ROI &gt; 0 indica que las pérdidas evitadas compensan la inversión.</w:t>
      </w:r>
    </w:p>
    <w:p>
      <w:pPr>
        <w:pStyle w:val="ListBullet"/>
        <w:keepLines w:val="1"/>
        <w:widowControl w:val="1"/>
      </w:pPr>
      <w:r>
        <w:t>ROI &lt; 0 indica que las pérdidas evitadas no compensan (al menos en el horizonte considerado).</w:t>
      </w:r>
    </w:p>
    <w:p>
      <w:pPr>
        <w:pStyle w:val="Heading3"/>
        <w:keepNext/>
        <w:keepLines/>
      </w:pPr>
      <w:r>
        <w:t>6.4. Relación entre IGM y ROI</w:t>
      </w:r>
    </w:p>
    <w:p>
      <w:r>
        <w:t>Aunque el IGM no es una medida financiera, se pueden explorar correlaciones entre:</w:t>
      </w:r>
    </w:p>
    <w:p>
      <w:pPr>
        <w:pStyle w:val="ListBullet"/>
        <w:keepLines w:val="1"/>
        <w:keepNext w:val="1"/>
        <w:widowControl w:val="1"/>
      </w:pPr>
      <w:r>
        <w:t>IGM_bloques (especialmente detección, respuesta y gestión de vulnerabilidades).</w:t>
      </w:r>
    </w:p>
    <w:p>
      <w:pPr>
        <w:pStyle w:val="ListBullet"/>
        <w:keepLines w:val="1"/>
        <w:widowControl w:val="1"/>
      </w:pPr>
      <w:r>
        <w:t>Frecuencia e impacto de incidentes.</w:t>
      </w:r>
    </w:p>
    <w:p>
      <w:r>
        <w:t>La plantilla de Excel propuesta permitirá almacenar respuestas, calcular puntuaciones y experimentar con escenarios de ROI.</w:t>
      </w:r>
    </w:p>
    <w:p>
      <w:pPr>
        <w:pStyle w:val="Heading2"/>
        <w:keepNext/>
        <w:keepLines/>
      </w:pPr>
      <w:r>
        <w:rPr>
          <w:color w:val="0066CC"/>
        </w:rPr>
        <w:t>7. Consideraciones éticas y de confidencialidad</w:t>
      </w:r>
    </w:p>
    <w:p>
      <w:pPr>
        <w:pStyle w:val="ListBullet"/>
        <w:keepLines w:val="1"/>
        <w:keepNext w:val="1"/>
        <w:widowControl w:val="1"/>
      </w:pPr>
      <w:r>
        <w:t>Los datos recogidos deben anonimizarse antes de cualquier análisis agregado.</w:t>
      </w:r>
    </w:p>
    <w:p>
      <w:pPr>
        <w:pStyle w:val="ListBullet"/>
        <w:keepLines w:val="1"/>
        <w:keepNext w:val="1"/>
        <w:widowControl w:val="1"/>
      </w:pPr>
      <w:r>
        <w:t>Se recomienda firmar acuerdos de confidencialidad (NDA) con las organizaciones participantes cuando los resultados puedan exponer debilidades sensibles.</w:t>
      </w:r>
    </w:p>
    <w:p>
      <w:pPr>
        <w:pStyle w:val="ListBullet"/>
        <w:keepLines w:val="1"/>
        <w:widowControl w:val="1"/>
      </w:pPr>
      <w:r>
        <w:t>Los resultados se presentarán de forma agregada (por sector, tamaño, etc.), evitando la identificación de organizaciones concretas.</w:t>
      </w:r>
    </w:p>
    <w:p>
      <w:pPr>
        <w:pStyle w:val="Heading2"/>
        <w:keepNext/>
        <w:keepLines/>
      </w:pPr>
      <w:r>
        <w:rPr>
          <w:color w:val="0066CC"/>
        </w:rPr>
        <w:t>8. Uso de los resultados</w:t>
      </w:r>
    </w:p>
    <w:p>
      <w:r>
        <w:t>Los resultados pueden utilizarse para:</w:t>
      </w:r>
    </w:p>
    <w:p>
      <w:pPr>
        <w:pStyle w:val="ListBullet"/>
        <w:keepLines w:val="1"/>
        <w:keepNext w:val="1"/>
        <w:widowControl w:val="1"/>
      </w:pPr>
      <w:r>
        <w:t>Informar a los órganos de gobierno sobre el estado real de madurez frente a APT.</w:t>
      </w:r>
    </w:p>
    <w:p>
      <w:pPr>
        <w:pStyle w:val="ListBullet"/>
        <w:keepLines w:val="1"/>
        <w:keepNext w:val="1"/>
        <w:widowControl w:val="1"/>
      </w:pPr>
      <w:r>
        <w:t>Priorizar inversiones y proyectos de mejora.</w:t>
      </w:r>
    </w:p>
    <w:p>
      <w:pPr>
        <w:pStyle w:val="ListBullet"/>
        <w:keepLines w:val="1"/>
        <w:keepNext w:val="1"/>
        <w:widowControl w:val="1"/>
      </w:pPr>
      <w:r>
        <w:t>Medir la evolución en el tiempo (ediciones periódicas de la encuesta).</w:t>
      </w:r>
    </w:p>
    <w:p>
      <w:pPr>
        <w:pStyle w:val="ListBullet"/>
        <w:keepLines w:val="1"/>
        <w:widowControl w:val="1"/>
      </w:pPr>
      <w:r>
        <w:t>Comparar la situación de una organización con referencias sectoriales o nacionales.</w:t>
      </w:r>
    </w:p>
    <w:p>
      <w:r>
        <w:t>En definitiva, la encuesta pretende convertir el ruido habitual en el discurso de ciberseguridad en métricas comparables, y si de paso ayuda a justificar presupuestos sin dramas, mejor.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