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Mapeo de preguntas de la encuesta a requisitos normativos y marcos de referencia</w:t>
      </w:r>
    </w:p>
    <w:p>
      <w:r>
        <w:t>La siguiente tabla muestra, para cada pregunta de la encuesta (número y tema), los artículos o controles específicos de los principales marcos y regulaciones que la respaldan.</w:t>
      </w:r>
      <w:r/>
      <w:r>
        <w:br/>
        <w:t>Se utilizan las versiones vigentes a abril 2026: NIS2 Directiva (UE) 2022/2555, NIST CSF 2.0, ISO/IEC 27001:2022, Esquema Nacional de Seguridad (ENS) real‑decreto 311/2022, y el framework MITRE ATT&amp;CK® (v13).</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Nº Pregunta</w:t>
            </w:r>
          </w:p>
        </w:tc>
        <w:tc>
          <w:tcPr>
            <w:tcW w:type="dxa" w:w="1337"/>
            <w:shd w:fill="0033CC"/>
          </w:tcPr>
          <w:p>
            <w:pPr>
              <w:keepLines w:val="1"/>
              <w:keepNext w:val="1"/>
            </w:pPr>
            <w:r>
              <w:rPr>
                <w:b/>
                <w:color w:val="FFFFFF"/>
              </w:rPr>
              <w:t>Tema principal</w:t>
            </w:r>
          </w:p>
        </w:tc>
        <w:tc>
          <w:tcPr>
            <w:tcW w:type="dxa" w:w="1337"/>
            <w:shd w:fill="0033CC"/>
          </w:tcPr>
          <w:p>
            <w:pPr>
              <w:keepLines w:val="1"/>
              <w:keepNext w:val="1"/>
            </w:pPr>
            <w:r>
              <w:rPr>
                <w:b/>
                <w:color w:val="FFFFFF"/>
              </w:rPr>
              <w:t>NIS2 (artículo)</w:t>
            </w:r>
          </w:p>
        </w:tc>
        <w:tc>
          <w:tcPr>
            <w:tcW w:type="dxa" w:w="1337"/>
            <w:shd w:fill="0033CC"/>
          </w:tcPr>
          <w:p>
            <w:pPr>
              <w:keepLines w:val="1"/>
              <w:keepNext w:val="1"/>
            </w:pPr>
            <w:r>
              <w:rPr>
                <w:b/>
                <w:color w:val="FFFFFF"/>
              </w:rPr>
              <w:t>NIST CSF 2.0 (función/categoría)</w:t>
            </w:r>
          </w:p>
        </w:tc>
        <w:tc>
          <w:tcPr>
            <w:tcW w:type="dxa" w:w="1337"/>
            <w:shd w:fill="0033CC"/>
          </w:tcPr>
          <w:p>
            <w:pPr>
              <w:keepLines w:val="1"/>
              <w:keepNext w:val="1"/>
            </w:pPr>
            <w:r>
              <w:rPr>
                <w:b/>
                <w:color w:val="FFFFFF"/>
              </w:rPr>
              <w:t>ISO 27001:2022 (Anexo A)</w:t>
            </w:r>
          </w:p>
        </w:tc>
        <w:tc>
          <w:tcPr>
            <w:tcW w:type="dxa" w:w="1337"/>
            <w:shd w:fill="0033CC"/>
          </w:tcPr>
          <w:p>
            <w:pPr>
              <w:keepLines w:val="1"/>
              <w:keepNext w:val="1"/>
            </w:pPr>
            <w:r>
              <w:rPr>
                <w:b/>
                <w:color w:val="FFFFFF"/>
              </w:rPr>
              <w:t>ENS / CCN‑STIC</w:t>
            </w:r>
          </w:p>
        </w:tc>
        <w:tc>
          <w:tcPr>
            <w:tcW w:type="dxa" w:w="1337"/>
            <w:shd w:fill="0033CC"/>
          </w:tcPr>
          <w:p>
            <w:pPr>
              <w:keepLines w:val="1"/>
              <w:keepNext w:val="1"/>
            </w:pPr>
            <w:r>
              <w:rPr>
                <w:b/>
                <w:color w:val="FFFFFF"/>
              </w:rPr>
              <w:t>MITRE ATT&amp;CK / Otros</w:t>
            </w:r>
          </w:p>
        </w:tc>
      </w:tr>
      <w:tr>
        <w:trPr>
          <w:cantSplit w:val="1"/>
        </w:trPr>
        <w:tc>
          <w:tcPr>
            <w:tcW w:type="dxa" w:w="1337"/>
          </w:tcPr>
          <w:p>
            <w:pPr>
              <w:keepLines w:val="1"/>
              <w:keepNext w:val="1"/>
            </w:pPr>
            <w:r>
              <w:t>1‑5</w:t>
            </w:r>
          </w:p>
        </w:tc>
        <w:tc>
          <w:tcPr>
            <w:tcW w:type="dxa" w:w="1337"/>
          </w:tcPr>
          <w:p>
            <w:pPr>
              <w:keepLines w:val="1"/>
              <w:keepNext w:val="1"/>
            </w:pPr>
            <w:r>
              <w:t>Perfil de la organización</w:t>
            </w:r>
          </w:p>
        </w:tc>
        <w:tc>
          <w:tcPr>
            <w:tcW w:type="dxa" w:w="1337"/>
          </w:tcPr>
          <w:p>
            <w:pPr>
              <w:keepLines w:val="1"/>
              <w:keepNext w:val="1"/>
            </w:pPr>
            <w:r>
              <w:t>— (contexto)</w:t>
            </w:r>
          </w:p>
        </w:tc>
        <w:tc>
          <w:tcPr>
            <w:tcW w:type="dxa" w:w="1337"/>
          </w:tcPr>
          <w:p>
            <w:pPr>
              <w:keepLines w:val="1"/>
              <w:keepNext w:val="1"/>
            </w:pPr>
            <w:r>
              <w:t>ID.GV‑01 (Governance)</w:t>
            </w:r>
          </w:p>
        </w:tc>
        <w:tc>
          <w:tcPr>
            <w:tcW w:type="dxa" w:w="1337"/>
          </w:tcPr>
          <w:p>
            <w:pPr>
              <w:keepLines w:val="1"/>
              <w:keepNext w:val="1"/>
            </w:pPr>
            <w:r>
              <w:t>4.1, 4.2 Contexto de la organización</w:t>
            </w:r>
          </w:p>
        </w:tc>
        <w:tc>
          <w:tcPr>
            <w:tcW w:type="dxa" w:w="1337"/>
          </w:tcPr>
          <w:p>
            <w:pPr>
              <w:keepLines w:val="1"/>
              <w:keepNext w:val="1"/>
            </w:pPr>
            <w:r>
              <w:t>ENS: Categoría de entidad y aplicabilidad</w:t>
            </w:r>
          </w:p>
        </w:tc>
        <w:tc>
          <w:tcPr>
            <w:tcW w:type="dxa" w:w="1337"/>
          </w:tcPr>
          <w:p>
            <w:pPr>
              <w:keepLines w:val="1"/>
              <w:keepNext w:val="1"/>
            </w:pPr>
            <w:r>
              <w:t>N/A</w:t>
            </w:r>
          </w:p>
        </w:tc>
      </w:tr>
      <w:tr>
        <w:trPr>
          <w:cantSplit w:val="1"/>
        </w:trPr>
        <w:tc>
          <w:tcPr>
            <w:tcW w:type="dxa" w:w="1337"/>
          </w:tcPr>
          <w:p>
            <w:pPr>
              <w:keepLines w:val="1"/>
              <w:keepNext w:val="1"/>
            </w:pPr>
            <w:r>
              <w:t>6</w:t>
            </w:r>
          </w:p>
        </w:tc>
        <w:tc>
          <w:tcPr>
            <w:tcW w:type="dxa" w:w="1337"/>
          </w:tcPr>
          <w:p>
            <w:pPr>
              <w:keepLines w:val="1"/>
              <w:keepNext w:val="1"/>
            </w:pPr>
            <w:r>
              <w:t>Estrategia formal de ciberseguridad con enfoque APT</w:t>
            </w:r>
          </w:p>
        </w:tc>
        <w:tc>
          <w:tcPr>
            <w:tcW w:type="dxa" w:w="1337"/>
          </w:tcPr>
          <w:p>
            <w:pPr>
              <w:keepLines w:val="1"/>
              <w:keepNext w:val="1"/>
            </w:pPr>
            <w:r>
              <w:t>Art. 21, 23 (gestión de riesgos)</w:t>
            </w:r>
          </w:p>
        </w:tc>
        <w:tc>
          <w:tcPr>
            <w:tcW w:type="dxa" w:w="1337"/>
          </w:tcPr>
          <w:p>
            <w:pPr>
              <w:keepLines w:val="1"/>
              <w:keepNext w:val="1"/>
            </w:pPr>
            <w:r>
              <w:t>ID.GV‑01, ID.GV‑02</w:t>
            </w:r>
          </w:p>
        </w:tc>
        <w:tc>
          <w:tcPr>
            <w:tcW w:type="dxa" w:w="1337"/>
          </w:tcPr>
          <w:p>
            <w:pPr>
              <w:keepLines w:val="1"/>
              <w:keepNext w:val="1"/>
            </w:pPr>
            <w:r>
              <w:t>A.5.1 Políticas de seguridad de la información</w:t>
            </w:r>
          </w:p>
        </w:tc>
        <w:tc>
          <w:tcPr>
            <w:tcW w:type="dxa" w:w="1337"/>
          </w:tcPr>
          <w:p>
            <w:pPr>
              <w:keepLines w:val="1"/>
              <w:keepNext w:val="1"/>
            </w:pPr>
            <w:r>
              <w:t>ENS: Política de seguridad</w:t>
            </w:r>
          </w:p>
        </w:tc>
        <w:tc>
          <w:tcPr>
            <w:tcW w:type="dxa" w:w="1337"/>
          </w:tcPr>
          <w:p>
            <w:pPr>
              <w:keepLines w:val="1"/>
              <w:keepNext w:val="1"/>
            </w:pPr>
            <w:r>
              <w:t>N/A</w:t>
            </w:r>
          </w:p>
        </w:tc>
      </w:tr>
      <w:tr>
        <w:trPr>
          <w:cantSplit w:val="1"/>
        </w:trPr>
        <w:tc>
          <w:tcPr>
            <w:tcW w:type="dxa" w:w="1337"/>
          </w:tcPr>
          <w:p>
            <w:pPr>
              <w:keepLines w:val="1"/>
              <w:keepNext w:val="1"/>
            </w:pPr>
            <w:r>
              <w:t>7</w:t>
            </w:r>
          </w:p>
        </w:tc>
        <w:tc>
          <w:tcPr>
            <w:tcW w:type="dxa" w:w="1337"/>
          </w:tcPr>
          <w:p>
            <w:pPr>
              <w:keepLines w:val="1"/>
              <w:keepNext w:val="1"/>
            </w:pPr>
            <w:r>
              <w:t>Alineamiento con marcos de referencia</w:t>
            </w:r>
          </w:p>
        </w:tc>
        <w:tc>
          <w:tcPr>
            <w:tcW w:type="dxa" w:w="1337"/>
          </w:tcPr>
          <w:p>
            <w:pPr>
              <w:keepLines w:val="1"/>
              <w:keepNext w:val="1"/>
            </w:pPr>
            <w:r>
              <w:t>Art. 21 (medidas técnicas y organizativas)</w:t>
            </w:r>
          </w:p>
        </w:tc>
        <w:tc>
          <w:tcPr>
            <w:tcW w:type="dxa" w:w="1337"/>
          </w:tcPr>
          <w:p>
            <w:pPr>
              <w:keepLines w:val="1"/>
              <w:keepNext w:val="1"/>
            </w:pPr>
            <w:r>
              <w:t>ID.GV‑03</w:t>
            </w:r>
          </w:p>
        </w:tc>
        <w:tc>
          <w:tcPr>
            <w:tcW w:type="dxa" w:w="1337"/>
          </w:tcPr>
          <w:p>
            <w:pPr>
              <w:keepLines w:val="1"/>
              <w:keepNext w:val="1"/>
            </w:pPr>
            <w:r>
              <w:t>A.5.1, A.5.2</w:t>
            </w:r>
          </w:p>
        </w:tc>
        <w:tc>
          <w:tcPr>
            <w:tcW w:type="dxa" w:w="1337"/>
          </w:tcPr>
          <w:p>
            <w:pPr>
              <w:keepLines w:val="1"/>
              <w:keepNext w:val="1"/>
            </w:pPr>
            <w:r>
              <w:t>ENS: Implantación de medidas</w:t>
            </w:r>
          </w:p>
        </w:tc>
        <w:tc>
          <w:tcPr>
            <w:tcW w:type="dxa" w:w="1337"/>
          </w:tcPr>
          <w:p>
            <w:pPr>
              <w:keepLines w:val="1"/>
              <w:keepNext w:val="1"/>
            </w:pPr>
            <w:r>
              <w:t>N/A</w:t>
            </w:r>
          </w:p>
        </w:tc>
      </w:tr>
      <w:tr>
        <w:trPr>
          <w:cantSplit w:val="1"/>
        </w:trPr>
        <w:tc>
          <w:tcPr>
            <w:tcW w:type="dxa" w:w="1337"/>
          </w:tcPr>
          <w:p>
            <w:pPr>
              <w:keepLines w:val="1"/>
              <w:keepNext w:val="1"/>
            </w:pPr>
            <w:r>
              <w:t>8</w:t>
            </w:r>
          </w:p>
        </w:tc>
        <w:tc>
          <w:tcPr>
            <w:tcW w:type="dxa" w:w="1337"/>
          </w:tcPr>
          <w:p>
            <w:pPr>
              <w:keepLines w:val="1"/>
              <w:keepNext w:val="1"/>
            </w:pPr>
            <w:r>
              <w:t>Estado de cumplimiento NIS2</w:t>
            </w:r>
          </w:p>
        </w:tc>
        <w:tc>
          <w:tcPr>
            <w:tcW w:type="dxa" w:w="1337"/>
          </w:tcPr>
          <w:p>
            <w:pPr>
              <w:keepLines w:val="1"/>
              <w:keepNext w:val="1"/>
            </w:pPr>
            <w:r>
              <w:t>NIS2 completa (art. 21‑23)</w:t>
            </w:r>
          </w:p>
        </w:tc>
        <w:tc>
          <w:tcPr>
            <w:tcW w:type="dxa" w:w="1337"/>
          </w:tcPr>
          <w:p>
            <w:pPr>
              <w:keepLines w:val="1"/>
              <w:keepNext w:val="1"/>
            </w:pPr>
            <w:r>
              <w:t>ID.GV‑01‑03</w:t>
            </w:r>
          </w:p>
        </w:tc>
        <w:tc>
          <w:tcPr>
            <w:tcW w:type="dxa" w:w="1337"/>
          </w:tcPr>
          <w:p>
            <w:pPr>
              <w:keepLines w:val="1"/>
              <w:keepNext w:val="1"/>
            </w:pPr>
            <w:r>
              <w:t>Cláusulas 4‑10 generales</w:t>
            </w:r>
          </w:p>
        </w:tc>
        <w:tc>
          <w:tcPr>
            <w:tcW w:type="dxa" w:w="1337"/>
          </w:tcPr>
          <w:p>
            <w:pPr>
              <w:keepLines w:val="1"/>
              <w:keepNext w:val="1"/>
            </w:pPr>
            <w:r>
              <w:t>ENS: Marco global</w:t>
            </w:r>
          </w:p>
        </w:tc>
        <w:tc>
          <w:tcPr>
            <w:tcW w:type="dxa" w:w="1337"/>
          </w:tcPr>
          <w:p>
            <w:pPr>
              <w:keepLines w:val="1"/>
              <w:keepNext w:val="1"/>
            </w:pPr>
            <w:r>
              <w:t>N/A</w:t>
            </w:r>
          </w:p>
        </w:tc>
      </w:tr>
      <w:tr>
        <w:trPr>
          <w:cantSplit w:val="1"/>
        </w:trPr>
        <w:tc>
          <w:tcPr>
            <w:tcW w:type="dxa" w:w="1337"/>
          </w:tcPr>
          <w:p>
            <w:pPr>
              <w:keepLines w:val="1"/>
              <w:keepNext w:val="1"/>
            </w:pPr>
            <w:r>
              <w:t>9</w:t>
            </w:r>
          </w:p>
        </w:tc>
        <w:tc>
          <w:tcPr>
            <w:tcW w:type="dxa" w:w="1337"/>
          </w:tcPr>
          <w:p>
            <w:pPr>
              <w:keepLines w:val="1"/>
              <w:keepNext w:val="1"/>
            </w:pPr>
            <w:r>
              <w:t>Revisión de estrategia y políticas</w:t>
            </w:r>
          </w:p>
        </w:tc>
        <w:tc>
          <w:tcPr>
            <w:tcW w:type="dxa" w:w="1337"/>
          </w:tcPr>
          <w:p>
            <w:pPr>
              <w:keepLines w:val="1"/>
              <w:keepNext w:val="1"/>
            </w:pPr>
            <w:r>
              <w:t>Art. 21.2 (revisión periódica)</w:t>
            </w:r>
          </w:p>
        </w:tc>
        <w:tc>
          <w:tcPr>
            <w:tcW w:type="dxa" w:w="1337"/>
          </w:tcPr>
          <w:p>
            <w:pPr>
              <w:keepLines w:val="1"/>
              <w:keepNext w:val="1"/>
            </w:pPr>
            <w:r>
              <w:t>ID.GV‑02</w:t>
            </w:r>
          </w:p>
        </w:tc>
        <w:tc>
          <w:tcPr>
            <w:tcW w:type="dxa" w:w="1337"/>
          </w:tcPr>
          <w:p>
            <w:pPr>
              <w:keepLines w:val="1"/>
              <w:keepNext w:val="1"/>
            </w:pPr>
            <w:r>
              <w:t>A.5.1, A.5.3</w:t>
            </w:r>
          </w:p>
        </w:tc>
        <w:tc>
          <w:tcPr>
            <w:tcW w:type="dxa" w:w="1337"/>
          </w:tcPr>
          <w:p>
            <w:pPr>
              <w:keepLines w:val="1"/>
              <w:keepNext w:val="1"/>
            </w:pPr>
            <w:r>
              <w:t>ENS: Revisión periódica</w:t>
            </w:r>
          </w:p>
        </w:tc>
        <w:tc>
          <w:tcPr>
            <w:tcW w:type="dxa" w:w="1337"/>
          </w:tcPr>
          <w:p>
            <w:pPr>
              <w:keepLines w:val="1"/>
              <w:keepNext w:val="1"/>
            </w:pPr>
            <w:r>
              <w:t>N/A</w:t>
            </w:r>
          </w:p>
        </w:tc>
      </w:tr>
      <w:tr>
        <w:trPr>
          <w:cantSplit w:val="1"/>
        </w:trPr>
        <w:tc>
          <w:tcPr>
            <w:tcW w:type="dxa" w:w="1337"/>
          </w:tcPr>
          <w:p>
            <w:pPr>
              <w:keepLines w:val="1"/>
              <w:keepNext w:val="1"/>
            </w:pPr>
            <w:r>
              <w:t>10</w:t>
            </w:r>
          </w:p>
        </w:tc>
        <w:tc>
          <w:tcPr>
            <w:tcW w:type="dxa" w:w="1337"/>
          </w:tcPr>
          <w:p>
            <w:pPr>
              <w:keepLines w:val="1"/>
              <w:keepNext w:val="1"/>
            </w:pPr>
            <w:r>
              <w:t>Participación del Consejo / Alta Dirección</w:t>
            </w:r>
          </w:p>
        </w:tc>
        <w:tc>
          <w:tcPr>
            <w:tcW w:type="dxa" w:w="1337"/>
          </w:tcPr>
          <w:p>
            <w:pPr>
              <w:keepLines w:val="1"/>
              <w:keepNext w:val="1"/>
            </w:pPr>
            <w:r>
              <w:t>Art. 20 (responsabilidades de la dirección)</w:t>
            </w:r>
          </w:p>
        </w:tc>
        <w:tc>
          <w:tcPr>
            <w:tcW w:type="dxa" w:w="1337"/>
          </w:tcPr>
          <w:p>
            <w:pPr>
              <w:keepLines w:val="1"/>
              <w:keepNext w:val="1"/>
            </w:pPr>
            <w:r>
              <w:t>ID.GV‑01</w:t>
            </w:r>
          </w:p>
        </w:tc>
        <w:tc>
          <w:tcPr>
            <w:tcW w:type="dxa" w:w="1337"/>
          </w:tcPr>
          <w:p>
            <w:pPr>
              <w:keepLines w:val="1"/>
              <w:keepNext w:val="1"/>
            </w:pPr>
            <w:r>
              <w:t>A.5.1, A.5.2</w:t>
            </w:r>
          </w:p>
        </w:tc>
        <w:tc>
          <w:tcPr>
            <w:tcW w:type="dxa" w:w="1337"/>
          </w:tcPr>
          <w:p>
            <w:pPr>
              <w:keepLines w:val="1"/>
              <w:keepNext w:val="1"/>
            </w:pPr>
            <w:r>
              <w:t>ENS: Responsabilidad y funciones</w:t>
            </w:r>
          </w:p>
        </w:tc>
        <w:tc>
          <w:tcPr>
            <w:tcW w:type="dxa" w:w="1337"/>
          </w:tcPr>
          <w:p>
            <w:pPr>
              <w:keepLines w:val="1"/>
              <w:keepNext w:val="1"/>
            </w:pPr>
            <w:r>
              <w:t>N/A</w:t>
            </w:r>
          </w:p>
        </w:tc>
      </w:tr>
      <w:tr>
        <w:trPr>
          <w:cantSplit w:val="1"/>
        </w:trPr>
        <w:tc>
          <w:tcPr>
            <w:tcW w:type="dxa" w:w="1337"/>
          </w:tcPr>
          <w:p>
            <w:pPr>
              <w:keepLines w:val="1"/>
              <w:keepNext w:val="1"/>
            </w:pPr>
            <w:r>
              <w:t>11‑12</w:t>
            </w:r>
          </w:p>
        </w:tc>
        <w:tc>
          <w:tcPr>
            <w:tcW w:type="dxa" w:w="1337"/>
          </w:tcPr>
          <w:p>
            <w:pPr>
              <w:keepLines w:val="1"/>
              <w:keepNext w:val="1"/>
            </w:pPr>
            <w:r>
              <w:t>Mapa de riesgos y actualización</w:t>
            </w:r>
          </w:p>
        </w:tc>
        <w:tc>
          <w:tcPr>
            <w:tcW w:type="dxa" w:w="1337"/>
          </w:tcPr>
          <w:p>
            <w:pPr>
              <w:keepLines w:val="1"/>
              <w:keepNext w:val="1"/>
            </w:pPr>
            <w:r>
              <w:t>Art. 21 (gestión de riesgos)</w:t>
            </w:r>
          </w:p>
        </w:tc>
        <w:tc>
          <w:tcPr>
            <w:tcW w:type="dxa" w:w="1337"/>
          </w:tcPr>
          <w:p>
            <w:pPr>
              <w:keepLines w:val="1"/>
              <w:keepNext w:val="1"/>
            </w:pPr>
            <w:r>
              <w:t>ID.RA‑01‑03</w:t>
            </w:r>
          </w:p>
        </w:tc>
        <w:tc>
          <w:tcPr>
            <w:tcW w:type="dxa" w:w="1337"/>
          </w:tcPr>
          <w:p>
            <w:pPr>
              <w:keepLines w:val="1"/>
              <w:keepNext w:val="1"/>
            </w:pPr>
            <w:r>
              <w:t>A.5.4 Gestión del riesgo</w:t>
            </w:r>
          </w:p>
        </w:tc>
        <w:tc>
          <w:tcPr>
            <w:tcW w:type="dxa" w:w="1337"/>
          </w:tcPr>
          <w:p>
            <w:pPr>
              <w:keepLines w:val="1"/>
              <w:keepNext w:val="1"/>
            </w:pPr>
            <w:r>
              <w:t>ENS: Análisis y gestión de riesgos</w:t>
            </w:r>
          </w:p>
        </w:tc>
        <w:tc>
          <w:tcPr>
            <w:tcW w:type="dxa" w:w="1337"/>
          </w:tcPr>
          <w:p>
            <w:pPr>
              <w:keepLines w:val="1"/>
              <w:keepNext w:val="1"/>
            </w:pPr>
            <w:r>
              <w:t>N/A</w:t>
            </w:r>
          </w:p>
        </w:tc>
      </w:tr>
      <w:tr>
        <w:trPr>
          <w:cantSplit w:val="1"/>
        </w:trPr>
        <w:tc>
          <w:tcPr>
            <w:tcW w:type="dxa" w:w="1337"/>
          </w:tcPr>
          <w:p>
            <w:pPr>
              <w:keepLines w:val="1"/>
              <w:keepNext w:val="1"/>
            </w:pPr>
            <w:r>
              <w:t>13</w:t>
            </w:r>
          </w:p>
        </w:tc>
        <w:tc>
          <w:tcPr>
            <w:tcW w:type="dxa" w:w="1337"/>
          </w:tcPr>
          <w:p>
            <w:pPr>
              <w:keepLines w:val="1"/>
              <w:keepNext w:val="1"/>
            </w:pPr>
            <w:r>
              <w:t>Métricas MTTD, MTTR, MTTP, % phishing, TTPs MITRE, incidentes en cadena de suministro</w:t>
            </w:r>
          </w:p>
        </w:tc>
        <w:tc>
          <w:tcPr>
            <w:tcW w:type="dxa" w:w="1337"/>
          </w:tcPr>
          <w:p>
            <w:pPr>
              <w:keepLines w:val="1"/>
              <w:keepNext w:val="1"/>
            </w:pPr>
            <w:r>
              <w:t>Art. 21 (monitorización)</w:t>
            </w:r>
          </w:p>
        </w:tc>
        <w:tc>
          <w:tcPr>
            <w:tcW w:type="dxa" w:w="1337"/>
          </w:tcPr>
          <w:p>
            <w:pPr>
              <w:keepLines w:val="1"/>
              <w:keepNext w:val="1"/>
            </w:pPr>
            <w:r>
              <w:t>ID.IM‑01‑04, DE (Detection), RS (Response)</w:t>
            </w:r>
          </w:p>
        </w:tc>
        <w:tc>
          <w:tcPr>
            <w:tcW w:type="dxa" w:w="1337"/>
          </w:tcPr>
          <w:p>
            <w:pPr>
              <w:keepLines w:val="1"/>
              <w:keepNext w:val="1"/>
            </w:pPr>
            <w:r>
              <w:t>A.5.35 Monitorización y revisión</w:t>
            </w:r>
          </w:p>
        </w:tc>
        <w:tc>
          <w:tcPr>
            <w:tcW w:type="dxa" w:w="1337"/>
          </w:tcPr>
          <w:p>
            <w:pPr>
              <w:keepLines w:val="1"/>
              <w:keepNext w:val="1"/>
            </w:pPr>
            <w:r>
              <w:t>ENS: Explotación de medidas</w:t>
            </w:r>
          </w:p>
        </w:tc>
        <w:tc>
          <w:tcPr>
            <w:tcW w:type="dxa" w:w="1337"/>
          </w:tcPr>
          <w:p>
            <w:pPr>
              <w:keepLines w:val="1"/>
              <w:keepNext w:val="1"/>
            </w:pPr>
            <w:r>
              <w:t>ATT&amp;CK: Técnicas específicas (ver 22.x)</w:t>
            </w:r>
          </w:p>
        </w:tc>
      </w:tr>
      <w:tr>
        <w:trPr>
          <w:cantSplit w:val="1"/>
        </w:trPr>
        <w:tc>
          <w:tcPr>
            <w:tcW w:type="dxa" w:w="1337"/>
          </w:tcPr>
          <w:p>
            <w:pPr>
              <w:keepLines w:val="1"/>
              <w:keepNext w:val="1"/>
            </w:pPr>
            <w:r>
              <w:t>14</w:t>
            </w:r>
          </w:p>
        </w:tc>
        <w:tc>
          <w:tcPr>
            <w:tcW w:type="dxa" w:w="1337"/>
          </w:tcPr>
          <w:p>
            <w:pPr>
              <w:keepLines w:val="1"/>
              <w:keepNext w:val="1"/>
            </w:pPr>
            <w:r>
              <w:t>Cuantificación económica del riesgo</w:t>
            </w:r>
          </w:p>
        </w:tc>
        <w:tc>
          <w:tcPr>
            <w:tcW w:type="dxa" w:w="1337"/>
          </w:tcPr>
          <w:p>
            <w:pPr>
              <w:keepLines w:val="1"/>
              <w:keepNext w:val="1"/>
            </w:pPr>
            <w:r>
              <w:t>Art. 21 (riesgos y medidas)</w:t>
            </w:r>
          </w:p>
        </w:tc>
        <w:tc>
          <w:tcPr>
            <w:tcW w:type="dxa" w:w="1337"/>
          </w:tcPr>
          <w:p>
            <w:pPr>
              <w:keepLines w:val="1"/>
              <w:keepNext w:val="1"/>
            </w:pPr>
            <w:r>
              <w:t>ID.RA‑02</w:t>
            </w:r>
          </w:p>
        </w:tc>
        <w:tc>
          <w:tcPr>
            <w:tcW w:type="dxa" w:w="1337"/>
          </w:tcPr>
          <w:p>
            <w:pPr>
              <w:keepLines w:val="1"/>
              <w:keepNext w:val="1"/>
            </w:pPr>
            <w:r>
              <w:t>A.5.4</w:t>
            </w:r>
          </w:p>
        </w:tc>
        <w:tc>
          <w:tcPr>
            <w:tcW w:type="dxa" w:w="1337"/>
          </w:tcPr>
          <w:p>
            <w:pPr>
              <w:keepLines w:val="1"/>
              <w:keepNext w:val="1"/>
            </w:pPr>
            <w:r>
              <w:t>ENS: Gestión de riesgos</w:t>
            </w:r>
          </w:p>
        </w:tc>
        <w:tc>
          <w:tcPr>
            <w:tcW w:type="dxa" w:w="1337"/>
          </w:tcPr>
          <w:p>
            <w:pPr>
              <w:keepLines w:val="1"/>
              <w:keepNext w:val="1"/>
            </w:pPr>
            <w:r>
              <w:t>N/A</w:t>
            </w:r>
          </w:p>
        </w:tc>
      </w:tr>
      <w:tr>
        <w:trPr>
          <w:cantSplit w:val="1"/>
        </w:trPr>
        <w:tc>
          <w:tcPr>
            <w:tcW w:type="dxa" w:w="1337"/>
          </w:tcPr>
          <w:p>
            <w:pPr>
              <w:keepLines w:val="1"/>
              <w:keepNext w:val="1"/>
            </w:pPr>
            <w:r>
              <w:t>15</w:t>
            </w:r>
          </w:p>
        </w:tc>
        <w:tc>
          <w:tcPr>
            <w:tcW w:type="dxa" w:w="1337"/>
          </w:tcPr>
          <w:p>
            <w:pPr>
              <w:keepLines w:val="1"/>
              <w:keepNext w:val="1"/>
            </w:pPr>
            <w:r>
              <w:t>Integración en continuidad de negocio</w:t>
            </w:r>
          </w:p>
        </w:tc>
        <w:tc>
          <w:tcPr>
            <w:tcW w:type="dxa" w:w="1337"/>
          </w:tcPr>
          <w:p>
            <w:pPr>
              <w:keepLines w:val="1"/>
              <w:keepNext w:val="1"/>
            </w:pPr>
            <w:r>
              <w:t>Art. 21 (planificación)</w:t>
            </w:r>
          </w:p>
        </w:tc>
        <w:tc>
          <w:tcPr>
            <w:tcW w:type="dxa" w:w="1337"/>
          </w:tcPr>
          <w:p>
            <w:pPr>
              <w:keepLines w:val="1"/>
              <w:keepNext w:val="1"/>
            </w:pPr>
            <w:r>
              <w:t>ID.BE‑05, RS.RP</w:t>
            </w:r>
          </w:p>
        </w:tc>
        <w:tc>
          <w:tcPr>
            <w:tcW w:type="dxa" w:w="1337"/>
          </w:tcPr>
          <w:p>
            <w:pPr>
              <w:keepLines w:val="1"/>
              <w:keepNext w:val="1"/>
            </w:pPr>
            <w:r>
              <w:t>A.5.30 Planificación de continuidad</w:t>
            </w:r>
          </w:p>
        </w:tc>
        <w:tc>
          <w:tcPr>
            <w:tcW w:type="dxa" w:w="1337"/>
          </w:tcPr>
          <w:p>
            <w:pPr>
              <w:keepLines w:val="1"/>
              <w:keepNext w:val="1"/>
            </w:pPr>
            <w:r>
              <w:t>ENS: Continuidad del servicio</w:t>
            </w:r>
          </w:p>
        </w:tc>
        <w:tc>
          <w:tcPr>
            <w:tcW w:type="dxa" w:w="1337"/>
          </w:tcPr>
          <w:p>
            <w:pPr>
              <w:keepLines w:val="1"/>
              <w:keepNext w:val="1"/>
            </w:pPr>
            <w:r>
              <w:t>N/A</w:t>
            </w:r>
          </w:p>
        </w:tc>
      </w:tr>
      <w:tr>
        <w:trPr>
          <w:cantSplit w:val="1"/>
        </w:trPr>
        <w:tc>
          <w:tcPr>
            <w:tcW w:type="dxa" w:w="1337"/>
          </w:tcPr>
          <w:p>
            <w:pPr>
              <w:keepLines w:val="1"/>
              <w:keepNext w:val="1"/>
            </w:pPr>
            <w:r>
              <w:t>16‑17</w:t>
            </w:r>
          </w:p>
        </w:tc>
        <w:tc>
          <w:tcPr>
            <w:tcW w:type="dxa" w:w="1337"/>
          </w:tcPr>
          <w:p>
            <w:pPr>
              <w:keepLines w:val="1"/>
              <w:keepNext w:val="1"/>
            </w:pPr>
            <w:r>
              <w:t>Phishing y spear‑phishing</w:t>
            </w:r>
          </w:p>
        </w:tc>
        <w:tc>
          <w:tcPr>
            <w:tcW w:type="dxa" w:w="1337"/>
          </w:tcPr>
          <w:p>
            <w:pPr>
              <w:keepLines w:val="1"/>
              <w:keepNext w:val="1"/>
            </w:pPr>
            <w:r>
              <w:t>Art. 21 (medidas técnicas)</w:t>
            </w:r>
          </w:p>
        </w:tc>
        <w:tc>
          <w:tcPr>
            <w:tcW w:type="dxa" w:w="1337"/>
          </w:tcPr>
          <w:p>
            <w:pPr>
              <w:keepLines w:val="1"/>
              <w:keepNext w:val="1"/>
            </w:pPr>
            <w:r>
              <w:t>PR.AT‑01, PR.PT‑01</w:t>
            </w:r>
          </w:p>
        </w:tc>
        <w:tc>
          <w:tcPr>
            <w:tcW w:type="dxa" w:w="1337"/>
          </w:tcPr>
          <w:p>
            <w:pPr>
              <w:keepLines w:val="1"/>
              <w:keepNext w:val="1"/>
            </w:pPr>
            <w:r>
              <w:t>A.5.10 Concienciación, A.5.15 Controles de acceso</w:t>
            </w:r>
          </w:p>
        </w:tc>
        <w:tc>
          <w:tcPr>
            <w:tcW w:type="dxa" w:w="1337"/>
          </w:tcPr>
          <w:p>
            <w:pPr>
              <w:keepLines w:val="1"/>
              <w:keepNext w:val="1"/>
            </w:pPr>
            <w:r>
              <w:t>ENS: Protección de la información</w:t>
            </w:r>
          </w:p>
        </w:tc>
        <w:tc>
          <w:tcPr>
            <w:tcW w:type="dxa" w:w="1337"/>
          </w:tcPr>
          <w:p>
            <w:pPr>
              <w:keepLines w:val="1"/>
              <w:keepNext w:val="1"/>
            </w:pPr>
            <w:r>
              <w:t>ATT&amp;CK: Initial Access (phishing)</w:t>
            </w:r>
          </w:p>
        </w:tc>
      </w:tr>
      <w:tr>
        <w:trPr>
          <w:cantSplit w:val="1"/>
        </w:trPr>
        <w:tc>
          <w:tcPr>
            <w:tcW w:type="dxa" w:w="1337"/>
          </w:tcPr>
          <w:p>
            <w:pPr>
              <w:keepLines w:val="1"/>
              <w:keepNext w:val="1"/>
            </w:pPr>
            <w:r>
              <w:t>18</w:t>
            </w:r>
          </w:p>
        </w:tc>
        <w:tc>
          <w:tcPr>
            <w:tcW w:type="dxa" w:w="1337"/>
          </w:tcPr>
          <w:p>
            <w:pPr>
              <w:keepLines w:val="1"/>
              <w:keepNext w:val="1"/>
            </w:pPr>
            <w:r>
              <w:t>Gestión del parcheo (MTTP)</w:t>
            </w:r>
          </w:p>
        </w:tc>
        <w:tc>
          <w:tcPr>
            <w:tcW w:type="dxa" w:w="1337"/>
          </w:tcPr>
          <w:p>
            <w:pPr>
              <w:keepLines w:val="1"/>
              <w:keepNext w:val="1"/>
            </w:pPr>
            <w:r>
              <w:t>Art. 21 (gestión de vulnerabilidades)</w:t>
            </w:r>
          </w:p>
        </w:tc>
        <w:tc>
          <w:tcPr>
            <w:tcW w:type="dxa" w:w="1337"/>
          </w:tcPr>
          <w:p>
            <w:pPr>
              <w:keepLines w:val="1"/>
              <w:keepNext w:val="1"/>
            </w:pPr>
            <w:r>
              <w:t>ID.VM‑01‑03, PR.PT‑03</w:t>
            </w:r>
          </w:p>
        </w:tc>
        <w:tc>
          <w:tcPr>
            <w:tcW w:type="dxa" w:w="1337"/>
          </w:tcPr>
          <w:p>
            <w:pPr>
              <w:keepLines w:val="1"/>
              <w:keepNext w:val="1"/>
            </w:pPr>
            <w:r>
              <w:t>A.8.8 Gestión de vulnerabilidades técnicas</w:t>
            </w:r>
          </w:p>
        </w:tc>
        <w:tc>
          <w:tcPr>
            <w:tcW w:type="dxa" w:w="1337"/>
          </w:tcPr>
          <w:p>
            <w:pPr>
              <w:keepLines w:val="1"/>
              <w:keepNext w:val="1"/>
            </w:pPr>
            <w:r>
              <w:t>ENS: Explotación y mantenimiento</w:t>
            </w:r>
          </w:p>
        </w:tc>
        <w:tc>
          <w:tcPr>
            <w:tcW w:type="dxa" w:w="1337"/>
          </w:tcPr>
          <w:p>
            <w:pPr>
              <w:keepLines w:val="1"/>
              <w:keepNext w:val="1"/>
            </w:pPr>
            <w:r>
              <w:t>ATT&amp;CK: Vulnerability exploitation</w:t>
            </w:r>
          </w:p>
        </w:tc>
      </w:tr>
      <w:tr>
        <w:trPr>
          <w:cantSplit w:val="1"/>
        </w:trPr>
        <w:tc>
          <w:tcPr>
            <w:tcW w:type="dxa" w:w="1337"/>
          </w:tcPr>
          <w:p>
            <w:pPr>
              <w:keepLines w:val="1"/>
              <w:keepNext w:val="1"/>
            </w:pPr>
            <w:r>
              <w:t>19</w:t>
            </w:r>
          </w:p>
        </w:tc>
        <w:tc>
          <w:tcPr>
            <w:tcW w:type="dxa" w:w="1337"/>
          </w:tcPr>
          <w:p>
            <w:pPr>
              <w:keepLines w:val="1"/>
              <w:keepNext w:val="1"/>
            </w:pPr>
            <w:r>
              <w:t>Fuentes de Threat Intelligence</w:t>
            </w:r>
          </w:p>
        </w:tc>
        <w:tc>
          <w:tcPr>
            <w:tcW w:type="dxa" w:w="1337"/>
          </w:tcPr>
          <w:p>
            <w:pPr>
              <w:keepLines w:val="1"/>
              <w:keepNext w:val="1"/>
            </w:pPr>
            <w:r>
              <w:t>Art. 21 y 26 (cooperación)</w:t>
            </w:r>
          </w:p>
        </w:tc>
        <w:tc>
          <w:tcPr>
            <w:tcW w:type="dxa" w:w="1337"/>
          </w:tcPr>
          <w:p>
            <w:pPr>
              <w:keepLines w:val="1"/>
              <w:keepNext w:val="1"/>
            </w:pPr>
            <w:r>
              <w:t>ID.IM‑03</w:t>
            </w:r>
          </w:p>
        </w:tc>
        <w:tc>
          <w:tcPr>
            <w:tcW w:type="dxa" w:w="1337"/>
          </w:tcPr>
          <w:p>
            <w:pPr>
              <w:keepLines w:val="1"/>
              <w:keepNext w:val="1"/>
            </w:pPr>
            <w:r>
              <w:t>A.5.7 Contacto con autoridades</w:t>
            </w:r>
          </w:p>
        </w:tc>
        <w:tc>
          <w:tcPr>
            <w:tcW w:type="dxa" w:w="1337"/>
          </w:tcPr>
          <w:p>
            <w:pPr>
              <w:keepLines w:val="1"/>
              <w:keepNext w:val="1"/>
            </w:pPr>
            <w:r>
              <w:t>ENS: Relación con CSIRT nacionales</w:t>
            </w:r>
          </w:p>
        </w:tc>
        <w:tc>
          <w:tcPr>
            <w:tcW w:type="dxa" w:w="1337"/>
          </w:tcPr>
          <w:p>
            <w:pPr>
              <w:keepLines w:val="1"/>
              <w:keepNext w:val="1"/>
            </w:pPr>
            <w:r>
              <w:t>ATT&amp;CK: Threat Intel mapping</w:t>
            </w:r>
          </w:p>
        </w:tc>
      </w:tr>
      <w:tr>
        <w:trPr>
          <w:cantSplit w:val="1"/>
        </w:trPr>
        <w:tc>
          <w:tcPr>
            <w:tcW w:type="dxa" w:w="1337"/>
          </w:tcPr>
          <w:p>
            <w:pPr>
              <w:keepLines w:val="1"/>
              <w:keepNext w:val="1"/>
            </w:pPr>
            <w:r>
              <w:t>20</w:t>
            </w:r>
          </w:p>
        </w:tc>
        <w:tc>
          <w:tcPr>
            <w:tcW w:type="dxa" w:w="1337"/>
          </w:tcPr>
          <w:p>
            <w:pPr>
              <w:keepLines w:val="1"/>
              <w:keepNext w:val="1"/>
            </w:pPr>
            <w:r>
              <w:t>Cadena de suministro digital</w:t>
            </w:r>
          </w:p>
        </w:tc>
        <w:tc>
          <w:tcPr>
            <w:tcW w:type="dxa" w:w="1337"/>
          </w:tcPr>
          <w:p>
            <w:pPr>
              <w:keepLines w:val="1"/>
              <w:keepNext w:val="1"/>
            </w:pPr>
            <w:r>
              <w:t>Art. 21.2(e) (seguridad de la cadena de suministro)</w:t>
            </w:r>
          </w:p>
        </w:tc>
        <w:tc>
          <w:tcPr>
            <w:tcW w:type="dxa" w:w="1337"/>
          </w:tcPr>
          <w:p>
            <w:pPr>
              <w:keepLines w:val="1"/>
              <w:keepNext w:val="1"/>
            </w:pPr>
            <w:r>
              <w:t>ID.SC‑01‑04</w:t>
            </w:r>
          </w:p>
        </w:tc>
        <w:tc>
          <w:tcPr>
            <w:tcW w:type="dxa" w:w="1337"/>
          </w:tcPr>
          <w:p>
            <w:pPr>
              <w:keepLines w:val="1"/>
              <w:keepNext w:val="1"/>
            </w:pPr>
            <w:r>
              <w:t>A.5.19 Seguridad en relaciones con proveedores</w:t>
            </w:r>
          </w:p>
        </w:tc>
        <w:tc>
          <w:tcPr>
            <w:tcW w:type="dxa" w:w="1337"/>
          </w:tcPr>
          <w:p>
            <w:pPr>
              <w:keepLines w:val="1"/>
              <w:keepNext w:val="1"/>
            </w:pPr>
            <w:r>
              <w:t>ENS: Proveedores de servicios</w:t>
            </w:r>
          </w:p>
        </w:tc>
        <w:tc>
          <w:tcPr>
            <w:tcW w:type="dxa" w:w="1337"/>
          </w:tcPr>
          <w:p>
            <w:pPr>
              <w:keepLines w:val="1"/>
              <w:keepNext w:val="1"/>
            </w:pPr>
            <w:r>
              <w:t>N/A</w:t>
            </w:r>
          </w:p>
        </w:tc>
      </w:tr>
      <w:tr>
        <w:trPr>
          <w:cantSplit w:val="1"/>
        </w:trPr>
        <w:tc>
          <w:tcPr>
            <w:tcW w:type="dxa" w:w="1337"/>
          </w:tcPr>
          <w:p>
            <w:pPr>
              <w:keepLines w:val="1"/>
              <w:keepNext w:val="1"/>
            </w:pPr>
            <w:r>
              <w:t>21‑22</w:t>
            </w:r>
          </w:p>
        </w:tc>
        <w:tc>
          <w:tcPr>
            <w:tcW w:type="dxa" w:w="1337"/>
          </w:tcPr>
          <w:p>
            <w:pPr>
              <w:keepLines w:val="1"/>
              <w:keepNext w:val="1"/>
            </w:pPr>
            <w:r>
              <w:t>Uso de MITRE ATT&amp;CK y TTPs</w:t>
            </w:r>
          </w:p>
        </w:tc>
        <w:tc>
          <w:tcPr>
            <w:tcW w:type="dxa" w:w="1337"/>
          </w:tcPr>
          <w:p>
            <w:pPr>
              <w:keepLines w:val="1"/>
              <w:keepNext w:val="1"/>
            </w:pPr>
            <w:r>
              <w:t>Art. 21 (detección avanzada)</w:t>
            </w:r>
          </w:p>
        </w:tc>
        <w:tc>
          <w:tcPr>
            <w:tcW w:type="dxa" w:w="1337"/>
          </w:tcPr>
          <w:p>
            <w:pPr>
              <w:keepLines w:val="1"/>
              <w:keepNext w:val="1"/>
            </w:pPr>
            <w:r>
              <w:t>DE.AE‑01‑03</w:t>
            </w:r>
          </w:p>
        </w:tc>
        <w:tc>
          <w:tcPr>
            <w:tcW w:type="dxa" w:w="1337"/>
          </w:tcPr>
          <w:p>
            <w:pPr>
              <w:keepLines w:val="1"/>
              <w:keepNext w:val="1"/>
            </w:pPr>
            <w:r>
              <w:t>A.5.35 Monitorización</w:t>
            </w:r>
          </w:p>
        </w:tc>
        <w:tc>
          <w:tcPr>
            <w:tcW w:type="dxa" w:w="1337"/>
          </w:tcPr>
          <w:p>
            <w:pPr>
              <w:keepLines w:val="1"/>
              <w:keepNext w:val="1"/>
            </w:pPr>
            <w:r>
              <w:t>ENS: Detección de intrusiones</w:t>
            </w:r>
          </w:p>
        </w:tc>
        <w:tc>
          <w:tcPr>
            <w:tcW w:type="dxa" w:w="1337"/>
          </w:tcPr>
          <w:p>
            <w:pPr>
              <w:keepLines w:val="1"/>
              <w:keepNext w:val="1"/>
            </w:pPr>
            <w:r>
              <w:t>MITRE ATT&amp;CK (técnicas específicas)</w:t>
            </w:r>
          </w:p>
        </w:tc>
      </w:tr>
      <w:tr>
        <w:trPr>
          <w:cantSplit w:val="1"/>
        </w:trPr>
        <w:tc>
          <w:tcPr>
            <w:tcW w:type="dxa" w:w="1337"/>
          </w:tcPr>
          <w:p>
            <w:pPr>
              <w:keepLines w:val="1"/>
              <w:keepNext w:val="1"/>
            </w:pPr>
            <w:r>
              <w:t>23‑24</w:t>
            </w:r>
          </w:p>
        </w:tc>
        <w:tc>
          <w:tcPr>
            <w:tcW w:type="dxa" w:w="1337"/>
          </w:tcPr>
          <w:p>
            <w:pPr>
              <w:keepLines w:val="1"/>
              <w:keepNext w:val="1"/>
            </w:pPr>
            <w:r>
              <w:t>Plan de detección APT e IA/ML</w:t>
            </w:r>
          </w:p>
        </w:tc>
        <w:tc>
          <w:tcPr>
            <w:tcW w:type="dxa" w:w="1337"/>
          </w:tcPr>
          <w:p>
            <w:pPr>
              <w:keepLines w:val="1"/>
              <w:keepNext w:val="1"/>
            </w:pPr>
            <w:r>
              <w:t>Art. 21</w:t>
            </w:r>
          </w:p>
        </w:tc>
        <w:tc>
          <w:tcPr>
            <w:tcW w:type="dxa" w:w="1337"/>
          </w:tcPr>
          <w:p>
            <w:pPr>
              <w:keepLines w:val="1"/>
              <w:keepNext w:val="1"/>
            </w:pPr>
            <w:r>
              <w:t>DE.AE‑01‑05, DE.DP</w:t>
            </w:r>
          </w:p>
        </w:tc>
        <w:tc>
          <w:tcPr>
            <w:tcW w:type="dxa" w:w="1337"/>
          </w:tcPr>
          <w:p>
            <w:pPr>
              <w:keepLines w:val="1"/>
              <w:keepNext w:val="1"/>
            </w:pPr>
            <w:r>
              <w:t>A.5.35, A.8.16</w:t>
            </w:r>
          </w:p>
        </w:tc>
        <w:tc>
          <w:tcPr>
            <w:tcW w:type="dxa" w:w="1337"/>
          </w:tcPr>
          <w:p>
            <w:pPr>
              <w:keepLines w:val="1"/>
              <w:keepNext w:val="1"/>
            </w:pPr>
            <w:r>
              <w:t>ENS: Sistemas de monitorización</w:t>
            </w:r>
          </w:p>
        </w:tc>
        <w:tc>
          <w:tcPr>
            <w:tcW w:type="dxa" w:w="1337"/>
          </w:tcPr>
          <w:p>
            <w:pPr>
              <w:keepLines w:val="1"/>
              <w:keepNext w:val="1"/>
            </w:pPr>
            <w:r>
              <w:t>ATT&amp;CK, modelos analíticos</w:t>
            </w:r>
          </w:p>
        </w:tc>
      </w:tr>
      <w:tr>
        <w:trPr>
          <w:cantSplit w:val="1"/>
        </w:trPr>
        <w:tc>
          <w:tcPr>
            <w:tcW w:type="dxa" w:w="1337"/>
          </w:tcPr>
          <w:p>
            <w:pPr>
              <w:keepLines w:val="1"/>
              <w:keepNext w:val="1"/>
            </w:pPr>
            <w:r>
              <w:t>25‑27</w:t>
            </w:r>
          </w:p>
        </w:tc>
        <w:tc>
          <w:tcPr>
            <w:tcW w:type="dxa" w:w="1337"/>
          </w:tcPr>
          <w:p>
            <w:pPr>
              <w:keepLines w:val="1"/>
              <w:keepNext w:val="1"/>
            </w:pPr>
            <w:r>
              <w:t>Plan de respuesta a incidentes y métricas</w:t>
            </w:r>
          </w:p>
        </w:tc>
        <w:tc>
          <w:tcPr>
            <w:tcW w:type="dxa" w:w="1337"/>
          </w:tcPr>
          <w:p>
            <w:pPr>
              <w:keepLines w:val="1"/>
              <w:keepNext w:val="1"/>
            </w:pPr>
            <w:r>
              <w:t>Art. 23 (gestión de incidentes)</w:t>
            </w:r>
          </w:p>
        </w:tc>
        <w:tc>
          <w:tcPr>
            <w:tcW w:type="dxa" w:w="1337"/>
          </w:tcPr>
          <w:p>
            <w:pPr>
              <w:keepLines w:val="1"/>
              <w:keepNext w:val="1"/>
            </w:pPr>
            <w:r>
              <w:t>RS.RP‑01‑03</w:t>
            </w:r>
          </w:p>
        </w:tc>
        <w:tc>
          <w:tcPr>
            <w:tcW w:type="dxa" w:w="1337"/>
          </w:tcPr>
          <w:p>
            <w:pPr>
              <w:keepLines w:val="1"/>
              <w:keepNext w:val="1"/>
            </w:pPr>
            <w:r>
              <w:t>A.5.26 Gestión de incidentes</w:t>
            </w:r>
          </w:p>
        </w:tc>
        <w:tc>
          <w:tcPr>
            <w:tcW w:type="dxa" w:w="1337"/>
          </w:tcPr>
          <w:p>
            <w:pPr>
              <w:keepLines w:val="1"/>
              <w:keepNext w:val="1"/>
            </w:pPr>
            <w:r>
              <w:t>ENS: Respuesta a incidentes</w:t>
            </w:r>
          </w:p>
        </w:tc>
        <w:tc>
          <w:tcPr>
            <w:tcW w:type="dxa" w:w="1337"/>
          </w:tcPr>
          <w:p>
            <w:pPr>
              <w:keepLines w:val="1"/>
              <w:keepNext w:val="1"/>
            </w:pPr>
            <w:r>
              <w:t>N/A</w:t>
            </w:r>
          </w:p>
        </w:tc>
      </w:tr>
      <w:tr>
        <w:trPr>
          <w:cantSplit w:val="1"/>
        </w:trPr>
        <w:tc>
          <w:tcPr>
            <w:tcW w:type="dxa" w:w="1337"/>
          </w:tcPr>
          <w:p>
            <w:pPr>
              <w:keepLines w:val="1"/>
              <w:keepNext w:val="1"/>
            </w:pPr>
            <w:r>
              <w:t>28</w:t>
            </w:r>
          </w:p>
        </w:tc>
        <w:tc>
          <w:tcPr>
            <w:tcW w:type="dxa" w:w="1337"/>
          </w:tcPr>
          <w:p>
            <w:pPr>
              <w:keepLines w:val="1"/>
              <w:keepNext w:val="1"/>
            </w:pPr>
            <w:r>
              <w:t>Coordinación con INCIBE / CCN‑CERT</w:t>
            </w:r>
          </w:p>
        </w:tc>
        <w:tc>
          <w:tcPr>
            <w:tcW w:type="dxa" w:w="1337"/>
          </w:tcPr>
          <w:p>
            <w:pPr>
              <w:keepLines w:val="1"/>
              <w:keepNext w:val="1"/>
            </w:pPr>
            <w:r>
              <w:t>Art. 23‑26 (notificación y cooperación)</w:t>
            </w:r>
          </w:p>
        </w:tc>
        <w:tc>
          <w:tcPr>
            <w:tcW w:type="dxa" w:w="1337"/>
          </w:tcPr>
          <w:p>
            <w:pPr>
              <w:keepLines w:val="1"/>
              <w:keepNext w:val="1"/>
            </w:pPr>
            <w:r>
              <w:t>RS.CO‑01‑03</w:t>
            </w:r>
          </w:p>
        </w:tc>
        <w:tc>
          <w:tcPr>
            <w:tcW w:type="dxa" w:w="1337"/>
          </w:tcPr>
          <w:p>
            <w:pPr>
              <w:keepLines w:val="1"/>
              <w:keepNext w:val="1"/>
            </w:pPr>
            <w:r>
              <w:t>A.5.7</w:t>
            </w:r>
          </w:p>
        </w:tc>
        <w:tc>
          <w:tcPr>
            <w:tcW w:type="dxa" w:w="1337"/>
          </w:tcPr>
          <w:p>
            <w:pPr>
              <w:keepLines w:val="1"/>
              <w:keepNext w:val="1"/>
            </w:pPr>
            <w:r>
              <w:t>ENS: CSIRT de referencia</w:t>
            </w:r>
          </w:p>
        </w:tc>
        <w:tc>
          <w:tcPr>
            <w:tcW w:type="dxa" w:w="1337"/>
          </w:tcPr>
          <w:p>
            <w:pPr>
              <w:keepLines w:val="1"/>
              <w:keepNext w:val="1"/>
            </w:pPr>
            <w:r>
              <w:t>N/A</w:t>
            </w:r>
          </w:p>
        </w:tc>
      </w:tr>
      <w:tr>
        <w:trPr>
          <w:cantSplit w:val="1"/>
        </w:trPr>
        <w:tc>
          <w:tcPr>
            <w:tcW w:type="dxa" w:w="1337"/>
          </w:tcPr>
          <w:p>
            <w:pPr>
              <w:keepLines w:val="1"/>
              <w:keepNext w:val="1"/>
            </w:pPr>
            <w:r>
              <w:t>29‑32</w:t>
            </w:r>
          </w:p>
        </w:tc>
        <w:tc>
          <w:tcPr>
            <w:tcW w:type="dxa" w:w="1337"/>
          </w:tcPr>
          <w:p>
            <w:pPr>
              <w:keepLines w:val="1"/>
              <w:keepNext w:val="1"/>
            </w:pPr>
            <w:r>
              <w:t>Formación, canales de reporte y cultura</w:t>
            </w:r>
          </w:p>
        </w:tc>
        <w:tc>
          <w:tcPr>
            <w:tcW w:type="dxa" w:w="1337"/>
          </w:tcPr>
          <w:p>
            <w:pPr>
              <w:keepLines w:val="1"/>
              <w:keepNext w:val="1"/>
            </w:pPr>
            <w:r>
              <w:t>Art. 20, 21</w:t>
            </w:r>
          </w:p>
        </w:tc>
        <w:tc>
          <w:tcPr>
            <w:tcW w:type="dxa" w:w="1337"/>
          </w:tcPr>
          <w:p>
            <w:pPr>
              <w:keepLines w:val="1"/>
              <w:keepNext w:val="1"/>
            </w:pPr>
            <w:r>
              <w:t>PR.AT‑01‑04</w:t>
            </w:r>
          </w:p>
        </w:tc>
        <w:tc>
          <w:tcPr>
            <w:tcW w:type="dxa" w:w="1337"/>
          </w:tcPr>
          <w:p>
            <w:pPr>
              <w:keepLines w:val="1"/>
              <w:keepNext w:val="1"/>
            </w:pPr>
            <w:r>
              <w:t>A.6.3 Responsabilidades, A.6.4 Concienciación</w:t>
            </w:r>
          </w:p>
        </w:tc>
        <w:tc>
          <w:tcPr>
            <w:tcW w:type="dxa" w:w="1337"/>
          </w:tcPr>
          <w:p>
            <w:pPr>
              <w:keepLines w:val="1"/>
              <w:keepNext w:val="1"/>
            </w:pPr>
            <w:r>
              <w:t>ENS: Formación y concienciación</w:t>
            </w:r>
          </w:p>
        </w:tc>
        <w:tc>
          <w:tcPr>
            <w:tcW w:type="dxa" w:w="1337"/>
          </w:tcPr>
          <w:p>
            <w:pPr>
              <w:keepLines w:val="1"/>
              <w:keepNext w:val="1"/>
            </w:pPr>
            <w:r>
              <w:t>N/A</w:t>
            </w:r>
          </w:p>
        </w:tc>
      </w:tr>
      <w:tr>
        <w:trPr>
          <w:cantSplit w:val="1"/>
        </w:trPr>
        <w:tc>
          <w:tcPr>
            <w:tcW w:type="dxa" w:w="1337"/>
          </w:tcPr>
          <w:p>
            <w:pPr>
              <w:keepLines w:val="1"/>
              <w:keepNext w:val="1"/>
            </w:pPr>
            <w:r>
              <w:t>33‑36</w:t>
            </w:r>
          </w:p>
        </w:tc>
        <w:tc>
          <w:tcPr>
            <w:tcW w:type="dxa" w:w="1337"/>
          </w:tcPr>
          <w:p>
            <w:pPr>
              <w:keepLines w:val="1"/>
              <w:keepNext w:val="1"/>
            </w:pPr>
            <w:r>
              <w:t>Inversión, ROI e IGM</w:t>
            </w:r>
          </w:p>
        </w:tc>
        <w:tc>
          <w:tcPr>
            <w:tcW w:type="dxa" w:w="1337"/>
          </w:tcPr>
          <w:p>
            <w:pPr>
              <w:keepLines w:val="1"/>
              <w:keepNext w:val="1"/>
            </w:pPr>
            <w:r>
              <w:t>Art. 21 (suficiencia de recursos)</w:t>
            </w:r>
          </w:p>
        </w:tc>
        <w:tc>
          <w:tcPr>
            <w:tcW w:type="dxa" w:w="1337"/>
          </w:tcPr>
          <w:p>
            <w:pPr>
              <w:keepLines w:val="1"/>
              <w:keepNext w:val="1"/>
            </w:pPr>
            <w:r>
              <w:t>ID.GV‑02, ID.RA‑03</w:t>
            </w:r>
          </w:p>
        </w:tc>
        <w:tc>
          <w:tcPr>
            <w:tcW w:type="dxa" w:w="1337"/>
          </w:tcPr>
          <w:p>
            <w:pPr>
              <w:keepLines w:val="1"/>
              <w:keepNext w:val="1"/>
            </w:pPr>
            <w:r>
              <w:t>A.5.1, A.5.4</w:t>
            </w:r>
          </w:p>
        </w:tc>
        <w:tc>
          <w:tcPr>
            <w:tcW w:type="dxa" w:w="1337"/>
          </w:tcPr>
          <w:p>
            <w:pPr>
              <w:keepLines w:val="1"/>
              <w:keepNext w:val="1"/>
            </w:pPr>
            <w:r>
              <w:t>ENS: Gestión de recursos</w:t>
            </w:r>
          </w:p>
        </w:tc>
        <w:tc>
          <w:tcPr>
            <w:tcW w:type="dxa" w:w="1337"/>
          </w:tcPr>
          <w:p>
            <w:pPr>
              <w:keepLines w:val="1"/>
              <w:keepNext w:val="1"/>
            </w:pPr>
            <w:r>
              <w:t>N/A</w:t>
            </w:r>
          </w:p>
        </w:tc>
      </w:tr>
      <w:tr>
        <w:trPr>
          <w:cantSplit w:val="1"/>
        </w:trPr>
        <w:tc>
          <w:tcPr>
            <w:tcW w:type="dxa" w:w="1337"/>
          </w:tcPr>
          <w:p>
            <w:pPr>
              <w:keepLines w:val="1"/>
              <w:keepNext w:val="1"/>
            </w:pPr>
            <w:r>
              <w:t>37‑39</w:t>
            </w:r>
          </w:p>
        </w:tc>
        <w:tc>
          <w:tcPr>
            <w:tcW w:type="dxa" w:w="1337"/>
          </w:tcPr>
          <w:p>
            <w:pPr>
              <w:keepLines w:val="1"/>
              <w:keepNext w:val="1"/>
            </w:pPr>
            <w:r>
              <w:t>Colaboración y ejercicios conjuntos</w:t>
            </w:r>
          </w:p>
        </w:tc>
        <w:tc>
          <w:tcPr>
            <w:tcW w:type="dxa" w:w="1337"/>
          </w:tcPr>
          <w:p>
            <w:pPr>
              <w:keepLines w:val="1"/>
              <w:keepNext w:val="1"/>
            </w:pPr>
            <w:r>
              <w:t>Art. 26 (cooperación)</w:t>
            </w:r>
          </w:p>
        </w:tc>
        <w:tc>
          <w:tcPr>
            <w:tcW w:type="dxa" w:w="1337"/>
          </w:tcPr>
          <w:p>
            <w:pPr>
              <w:keepLines w:val="1"/>
              <w:keepNext w:val="1"/>
            </w:pPr>
            <w:r>
              <w:t>ID.IM‑03, RS.CO‑02</w:t>
            </w:r>
          </w:p>
        </w:tc>
        <w:tc>
          <w:tcPr>
            <w:tcW w:type="dxa" w:w="1337"/>
          </w:tcPr>
          <w:p>
            <w:pPr>
              <w:keepLines w:val="1"/>
              <w:keepNext w:val="1"/>
            </w:pPr>
            <w:r>
              <w:t>A.5.7 Contacto con autoridades</w:t>
            </w:r>
          </w:p>
        </w:tc>
        <w:tc>
          <w:tcPr>
            <w:tcW w:type="dxa" w:w="1337"/>
          </w:tcPr>
          <w:p>
            <w:pPr>
              <w:keepLines w:val="1"/>
              <w:keepNext w:val="1"/>
            </w:pPr>
            <w:r>
              <w:t>ENS: Colaboración</w:t>
            </w:r>
          </w:p>
        </w:tc>
        <w:tc>
          <w:tcPr>
            <w:tcW w:type="dxa" w:w="1337"/>
          </w:tcPr>
          <w:p>
            <w:pPr>
              <w:keepLines w:val="1"/>
              <w:keepNext w:val="1"/>
            </w:pPr>
            <w:r>
              <w:t>ATT&amp;CK: Adversary emulation</w:t>
            </w:r>
          </w:p>
        </w:tc>
      </w:tr>
      <w:tr>
        <w:trPr>
          <w:cantSplit w:val="1"/>
        </w:trPr>
        <w:tc>
          <w:tcPr>
            <w:tcW w:type="dxa" w:w="1337"/>
          </w:tcPr>
          <w:p>
            <w:pPr>
              <w:keepLines w:val="1"/>
              <w:keepNext w:val="1"/>
            </w:pPr>
            <w:r>
              <w:t>40‑41</w:t>
            </w:r>
          </w:p>
        </w:tc>
        <w:tc>
          <w:tcPr>
            <w:tcW w:type="dxa" w:w="1337"/>
          </w:tcPr>
          <w:p>
            <w:pPr>
              <w:keepLines w:val="1"/>
              <w:keepNext w:val="1"/>
            </w:pPr>
            <w:r>
              <w:t>Visión de futuro y prioridades</w:t>
            </w:r>
          </w:p>
        </w:tc>
        <w:tc>
          <w:tcPr>
            <w:tcW w:type="dxa" w:w="1337"/>
          </w:tcPr>
          <w:p>
            <w:pPr>
              <w:keepLines w:val="1"/>
              <w:keepNext w:val="1"/>
            </w:pPr>
            <w:r>
              <w:t>Orientación estratégica</w:t>
            </w:r>
          </w:p>
        </w:tc>
        <w:tc>
          <w:tcPr>
            <w:tcW w:type="dxa" w:w="1337"/>
          </w:tcPr>
          <w:p>
            <w:pPr>
              <w:keepLines w:val="1"/>
              <w:keepNext w:val="1"/>
            </w:pPr>
            <w:r>
              <w:t>ID.GV‑01‑03</w:t>
            </w:r>
          </w:p>
        </w:tc>
        <w:tc>
          <w:tcPr>
            <w:tcW w:type="dxa" w:w="1337"/>
          </w:tcPr>
          <w:p>
            <w:pPr>
              <w:keepLines w:val="1"/>
              <w:keepNext w:val="1"/>
            </w:pPr>
            <w:r>
              <w:t>A.5.1, A.5.2</w:t>
            </w:r>
          </w:p>
        </w:tc>
        <w:tc>
          <w:tcPr>
            <w:tcW w:type="dxa" w:w="1337"/>
          </w:tcPr>
          <w:p>
            <w:pPr>
              <w:keepLines w:val="1"/>
              <w:keepNext w:val="1"/>
            </w:pPr>
            <w:r>
              <w:t>ENS: Planificación</w:t>
            </w:r>
          </w:p>
        </w:tc>
        <w:tc>
          <w:tcPr>
            <w:tcW w:type="dxa" w:w="1337"/>
          </w:tcPr>
          <w:p>
            <w:pPr>
              <w:keepLines w:val="1"/>
              <w:keepNext w:val="1"/>
            </w:pPr>
            <w:r>
              <w:t>N/A</w:t>
            </w:r>
          </w:p>
        </w:tc>
      </w:tr>
      <w:tr>
        <w:trPr>
          <w:cantSplit w:val="1"/>
        </w:trPr>
        <w:tc>
          <w:tcPr>
            <w:tcW w:type="dxa" w:w="1337"/>
          </w:tcPr>
          <w:p>
            <w:pPr>
              <w:keepLines w:val="1"/>
            </w:pPr>
            <w:r>
              <w:t>42</w:t>
            </w:r>
          </w:p>
        </w:tc>
        <w:tc>
          <w:tcPr>
            <w:tcW w:type="dxa" w:w="1337"/>
          </w:tcPr>
          <w:p>
            <w:pPr>
              <w:keepLines w:val="1"/>
            </w:pPr>
            <w:r>
              <w:t>Comentario abierto</w:t>
            </w:r>
          </w:p>
        </w:tc>
        <w:tc>
          <w:tcPr>
            <w:tcW w:type="dxa" w:w="1337"/>
          </w:tcPr>
          <w:p>
            <w:pPr>
              <w:keepLines w:val="1"/>
            </w:pPr>
            <w:r>
              <w:t>N/A</w:t>
            </w:r>
          </w:p>
        </w:tc>
        <w:tc>
          <w:tcPr>
            <w:tcW w:type="dxa" w:w="1337"/>
          </w:tcPr>
          <w:p>
            <w:pPr>
              <w:keepLines w:val="1"/>
            </w:pPr>
            <w:r>
              <w:t>N/A</w:t>
            </w:r>
          </w:p>
        </w:tc>
        <w:tc>
          <w:tcPr>
            <w:tcW w:type="dxa" w:w="1337"/>
          </w:tcPr>
          <w:p>
            <w:pPr>
              <w:keepLines w:val="1"/>
            </w:pPr>
            <w:r>
              <w:t>N/A</w:t>
            </w:r>
          </w:p>
        </w:tc>
        <w:tc>
          <w:tcPr>
            <w:tcW w:type="dxa" w:w="1337"/>
          </w:tcPr>
          <w:p>
            <w:pPr>
              <w:keepLines w:val="1"/>
            </w:pPr>
            <w:r>
              <w:t>N/A</w:t>
            </w:r>
          </w:p>
        </w:tc>
        <w:tc>
          <w:tcPr>
            <w:tcW w:type="dxa" w:w="1337"/>
          </w:tcPr>
          <w:p>
            <w:pPr>
              <w:keepLines w:val="1"/>
            </w:pPr>
            <w:r>
              <w:t>N/A</w:t>
            </w:r>
          </w:p>
        </w:tc>
      </w:tr>
    </w:tbl>
    <w:p/>
    <w:p>
      <w:r>
        <w:rPr>
          <w:b/>
        </w:rPr>
        <w:t>Nota</w:t>
      </w:r>
      <w:r>
        <w:t xml:space="preserve">: Cada fila puede ampliarse con los sub‑controles específicos (por ejemplo, A.8.8.1 para gestión de parches) al realizar un análisis de brechas profundo. Este mapeo sirve como base para demostrar cumplimiento en auditorías o auto‑evaluaciones.  </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