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 + PRAGMATIC para indicadores APT a nivel nacional (España)</w:t>
      </w:r>
    </w:p>
    <w:p>
      <w:pPr>
        <w:pStyle w:val="Heading2"/>
        <w:keepNext/>
        <w:keepLines/>
      </w:pPr>
      <w:r>
        <w:rPr>
          <w:color w:val="0066CC"/>
        </w:rPr>
        <w:t>1. Visión general</w:t>
      </w:r>
    </w:p>
    <w:p>
      <w:r>
        <w:t xml:space="preserve">El método </w:t>
      </w:r>
      <w:r>
        <w:rPr>
          <w:b/>
        </w:rPr>
        <w:t>Goal‑Question‑Metric (GQM)</w:t>
      </w:r>
      <w:r>
        <w:t xml:space="preserve"> conecta objetivos estratégicos con preguntas operativas y métricas cuantificables.</w:t>
      </w:r>
      <w:r/>
      <w:r>
        <w:br/>
        <w:t xml:space="preserve">El marco </w:t>
      </w:r>
      <w:r>
        <w:rPr>
          <w:b/>
        </w:rPr>
        <w:t>PRAGMATIC</w:t>
      </w:r>
      <w:r>
        <w:t xml:space="preserve"> aporta nueve atributos de calidad para validar que esas métricas sean útiles en la práctica.</w:t>
      </w:r>
    </w:p>
    <w:p>
      <w:r>
        <w:t xml:space="preserve">Este documento describe cómo aplicar GQM + PRAGMATIC a los indicadores de Amenaza Persistente Avanzada (APT) definidos en el </w:t>
      </w:r>
      <w:r>
        <w:rPr>
          <w:i/>
        </w:rPr>
        <w:t>Informe APT</w:t>
      </w:r>
      <w:r>
        <w:t xml:space="preserve"> para el contexto nacional español, garantizando trazabilidad desde los objetivos de la Estrategia de Seguridad Nacional hasta los datos técnicos que recoge la encuesta.</w:t>
      </w:r>
    </w:p>
    <w:p>
      <w:pPr>
        <w:pStyle w:val="Heading2"/>
        <w:keepNext/>
        <w:keepLines/>
      </w:pPr>
      <w:r>
        <w:rPr>
          <w:color w:val="0066CC"/>
        </w:rPr>
        <w:t>2. Objetivos nacionales (Goals) relacionados con APT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Goal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(objetivo nacional)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Reducir el tiempo medio de detección (MTTD) de incidentes APT en infraestructuras críticas a ≤ 4 h para 2027.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Limitar el tiempo medio de respuesta (MTTR) ante incidentes APT a ≤ 24 h para 2027.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Disminuir el porcentaje de incidentes cuyo vector inicial es phishing a &lt; 15 % del total de intrusiones confirmadas para 2027.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Incrementar la cobertura de detección de TTPs MITRE ATT&amp;CK asociadas a APT a ≥ 80 % en las organizaciones de importancia crítica para 2027.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Garantizar que el ≥ 90 % de las vulnerabilidades críticas (CVSS ≥ 7) en activos esenciales se parcheen dentro de los 7 días posteriores a su publicación para 2027.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Elevar el Índice Global de Madurez (IGM) de las entidades esenciales y importantes a ≥ 0,70 (escala 0‑1) para 2027.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G7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Mejorar el ROI medio de las inversiones en ciberseguridad frente a APT a ≥ 1,5 (es decir, cada euro invertido evita 1,5 € de pérdidas esperadas) para 2027.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Derivación de preguntas (Questions)</w:t>
      </w:r>
    </w:p>
    <w:p>
      <w:r>
        <w:t>Para cada Goal se formulan una o más preguntas que la encuesta debe responder.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Pregunta(s) derivada(s)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P13.1: ¿Cuál es el tiempo medio de detección (MTTD) de incidentes APT en su organización?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P13.2: ¿Cuál es el tiempo medio de respuesta (MTTR) ante incidentes APT?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P13.4: ¿Qué porcentaje de los incidentes confirmados tuvo como vector inicial phishing?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P22.1‑22.5: ¿Qué nivel de capacidad de detección (0‑3) tiene para cada una de las TTPs MITRE relevantes (System Information Discovery, Ingress Tool Transfer, Web Protocols, Credential Access, Lateral Movement)?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P13.3: ¿Cuál es el tiempo medio de parcheo (MTTP) de vulnerabilidades críticas (CVSS ≥ 7) en activos críticos?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P35: ¿Utiliza un Índice Global de Madurez (IGM) formal?  P6‑P15: preguntas de gobernanza, riesgo, inversión, etc., que alimentan el cálculo del IGM.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G7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P33‑P36: preguntas sobre inversión anual (% TI), existencia de modelo ROI, influencia de incidentes en la inversión, etc.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Definición de métricas (Metrics) y aplicación de los criterios PRAGMATIC</w:t>
      </w:r>
    </w:p>
    <w:p>
      <w:r>
        <w:t>Cada pregunta se convierte en una métrica cuantitativa o ordinal.</w:t>
      </w:r>
      <w:r>
        <w:br/>
        <w:t>A continuación se muestra la plantilla que se usa para evaluar cada métrica bajo los nueve atributos PRAGMATIC.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(derivada de Pregunta)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/ Escala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MTTD (P13.1)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Valor directo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 (detecta tendencia)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 (core)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 (dispara acciones de mejora)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 (basado en datos SIEM)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 (impacto en daño)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 (medido con herramientas)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 (reporte mensual)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 (depende de fuentes internas)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 (costo de herramientas)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clave de detección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MTTR (P13.2)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Valor directo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de respuesta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 Phishing (P13.4)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(incidentes con phishing / total incidentes)×100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Bajo (fácil de obtener)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Señal temprana de ingeniería social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Cobertura TTPs MITRE (P22.x)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Escala 0‑3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Promedio de las cinco TTPs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Medio‑Alto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Alto‑Medio (depende de herramientas)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Medio‑Alto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Medio‑Alto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Refuerza detección basada en comportamiento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MTTP (P13.3)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Valor directo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Bajo (parcheo barato si se automatiza)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Evita explotación rápida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IGM (P35 + cálculo)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Índice 0‑1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Fórmula ponderada (ver guía)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Bajo (depende de agregación)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Bajo (costo de cálculo bajo)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Síntesis de madurez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ROI ciberseguridad (P33‑P36)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Ratio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(Pérdida esperada evitada – Inversión) / Inversión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Medio (requiere estimaciones)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Bajo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Alto (justify inversión)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Vincula gasto con beneficio</w:t>
            </w:r>
          </w:p>
        </w:tc>
      </w:tr>
    </w:tbl>
    <w:p/>
    <w:p>
      <w:r>
        <w:rPr>
          <w:b/>
        </w:rPr>
        <w:t>Nota</w:t>
      </w:r>
      <w:r>
        <w:t xml:space="preserve">: En la </w:t>
      </w:r>
      <w:r>
        <w:rPr>
          <w:b/>
        </w:rPr>
        <w:t>Matriz de Evaluación PRAGMATIC Completa</w:t>
      </w:r>
      <w:r>
        <w:t xml:space="preserve"> (archivo (b)) se detalla la puntuación (0‑2 o ✔/✘) y la justificación para cada criterio por cada métrica.</w:t>
      </w:r>
    </w:p>
    <w:p>
      <w:pPr>
        <w:pStyle w:val="Heading2"/>
        <w:keepNext/>
        <w:keepLines/>
      </w:pPr>
      <w:r>
        <w:rPr>
          <w:color w:val="0066CC"/>
        </w:rPr>
        <w:t>5. Proceso de aplicación en la encuesta</w:t>
      </w:r>
    </w:p>
    <w:p>
      <w:pPr>
        <w:pStyle w:val="ListNumber"/>
        <w:keepLines w:val="1"/>
        <w:keepNext w:val="1"/>
        <w:widowControl w:val="1"/>
      </w:pPr>
      <w:r>
        <w:t xml:space="preserve">Definir Goals a partir de la Estrategia de Seguridad Nacional y el Plan de Recuperación y Resiliencia.  </w:t>
      </w:r>
    </w:p>
    <w:p>
      <w:pPr>
        <w:pStyle w:val="ListNumber"/>
        <w:keepLines w:val="1"/>
        <w:keepNext w:val="1"/>
        <w:widowControl w:val="1"/>
      </w:pPr>
      <w:r>
        <w:t xml:space="preserve">Formular Questions directamente vinculadas a cada Goal (ver tabla 3).  </w:t>
      </w:r>
    </w:p>
    <w:p>
      <w:pPr>
        <w:pStyle w:val="ListNumber"/>
        <w:keepLines w:val="1"/>
        <w:keepNext w:val="1"/>
        <w:widowControl w:val="1"/>
      </w:pPr>
      <w:r>
        <w:t xml:space="preserve">Seleccionar/Definir Metrics que respondan a esas Questions (ver tabla 4).  </w:t>
      </w:r>
    </w:p>
    <w:p>
      <w:pPr>
        <w:pStyle w:val="ListNumber"/>
        <w:keepLines w:val="1"/>
        <w:keepNext w:val="1"/>
        <w:widowControl w:val="1"/>
      </w:pPr>
      <w:r>
        <w:t xml:space="preserve">Evaluar cada Metric con el checklist PRAGMATIC (archivo (b)).  </w:t>
      </w:r>
    </w:p>
    <w:p>
      <w:pPr>
        <w:pStyle w:val="ListNumber"/>
        <w:keepLines w:val="1"/>
        <w:keepNext w:val="1"/>
        <w:widowControl w:val="1"/>
      </w:pPr>
      <w:r>
        <w:t xml:space="preserve">Incorporar las métricas aprobadas en la encuesta (preguntas 13, 22, etc.) y en la plantilla de cálculo (archivo (e)).  </w:t>
      </w:r>
    </w:p>
    <w:p>
      <w:pPr>
        <w:pStyle w:val="ListNumber"/>
        <w:keepLines w:val="1"/>
        <w:widowControl w:val="1"/>
      </w:pPr>
      <w:r>
        <w:t>Reportar resultados usando el IGM y el ROI, garantizando que cada número sea trazable a un Goal nacional mediante la cadena GQM → Question → Metric.</w:t>
      </w:r>
    </w:p>
    <w:p>
      <w:pPr>
        <w:pStyle w:val="Heading2"/>
        <w:keepNext/>
        <w:keepLines/>
      </w:pPr>
      <w:r>
        <w:rPr>
          <w:color w:val="0066CC"/>
        </w:rPr>
        <w:t>6. Vinculación con normas y marcos de referencia</w:t>
      </w:r>
    </w:p>
    <w:p>
      <w:r>
        <w:t>Cada pregunta de la encuesta ya está mapeada a NIS2, NIST CSF 2.0, ISO 27001:2022, ENS/CCN‑STIC y MITRE ATT&amp;CK (ver archivo (d)).</w:t>
      </w:r>
      <w:r/>
      <w:r>
        <w:br/>
        <w:t xml:space="preserve">El enfoque GQM + PRAGMATIC añade una capa de </w:t>
      </w:r>
      <w:r>
        <w:rPr>
          <w:b/>
        </w:rPr>
        <w:t>trazabilidad objetivo‑métrica</w:t>
      </w:r>
      <w:r>
        <w:t xml:space="preserve"> que asegura que lo que se mide realmente contribuye a los propósitos estratégicos nacionales y cumple con los requisitos de calidad exigidos por los marcos antes mencionados.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