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(c) Narrativa Explicativa de la Encuesta APT</w:t>
      </w:r>
    </w:p>
    <w:p>
      <w:pPr>
        <w:pStyle w:val="Heading2"/>
        <w:keepNext/>
        <w:keepLines/>
      </w:pPr>
      <w:r>
        <w:rPr>
          <w:color w:val="0066CC"/>
        </w:rPr>
        <w:t>1. Por qué otra encuesta más</w:t>
      </w:r>
    </w:p>
    <w:p>
      <w:r>
        <w:t>La ciberseguridad está ya saturada de informes, índices, gráficos y siglas. Sin embargo, cuando se pregunta a una organización "¿hasta qué punto estás preparada frente a una Amenaza Persistente Avanzada (APT)?", las respuestas suelen oscilar entre el optimismo injustificado y el pesimismo inconfesable.</w:t>
      </w:r>
    </w:p>
    <w:p>
      <w:r>
        <w:t>Esta encuesta nace con una vocación más modesta (y honesta): medir, con cierto rigor y un poco de ironía, qué se está haciendo realmente en las organizaciones españolas para convivir con las APT sin perder el sueño —o al menos durmiendo con un ojo abierto.</w:t>
      </w:r>
    </w:p>
    <w:p>
      <w:pPr>
        <w:pStyle w:val="Heading2"/>
        <w:keepNext/>
        <w:keepLines/>
      </w:pPr>
      <w:r>
        <w:rPr>
          <w:color w:val="0066CC"/>
        </w:rPr>
        <w:t>2. Qué pretende medir</w:t>
      </w:r>
    </w:p>
    <w:p>
      <w:r>
        <w:t>La encuesta no busca averiguar si la organización ha sido atacada por un grupo con nombre exótico, sino si:</w:t>
      </w:r>
    </w:p>
    <w:p>
      <w:pPr>
        <w:pStyle w:val="ListBullet"/>
        <w:keepLines w:val="1"/>
        <w:keepNext w:val="1"/>
        <w:widowControl w:val="1"/>
      </w:pPr>
      <w:r>
        <w:t>Existe una gobernanza clara, con una estrategia de ciberseguridad que tenga en cuenta las APT y no solo los incidentes de manual.</w:t>
      </w:r>
    </w:p>
    <w:p>
      <w:pPr>
        <w:pStyle w:val="ListBullet"/>
        <w:keepLines w:val="1"/>
        <w:keepNext w:val="1"/>
        <w:widowControl w:val="1"/>
      </w:pPr>
      <w:r>
        <w:t>La gestión del riesgo incorpora escenarios APT y se cuantifica su impacto potencial.</w:t>
      </w:r>
    </w:p>
    <w:p>
      <w:pPr>
        <w:pStyle w:val="ListBullet"/>
        <w:keepLines w:val="1"/>
        <w:keepNext w:val="1"/>
        <w:widowControl w:val="1"/>
      </w:pPr>
      <w:r>
        <w:t>Se utilizan métricas operativas (MTTD, MTTR, MTTP, ratio de phishing, etc.) más allá de contar cuántos correos de spam se han bloqueado.</w:t>
      </w:r>
    </w:p>
    <w:p>
      <w:pPr>
        <w:pStyle w:val="ListBullet"/>
        <w:keepLines w:val="1"/>
        <w:keepNext w:val="1"/>
        <w:widowControl w:val="1"/>
      </w:pPr>
      <w:r>
        <w:t>Las capacidades de detección se apoyan en marcos como MITRE ATT&amp;CK y en una inteligencia de amenazas que vaya más allá de leer titulares.</w:t>
      </w:r>
    </w:p>
    <w:p>
      <w:pPr>
        <w:pStyle w:val="ListBullet"/>
        <w:keepLines w:val="1"/>
        <w:keepNext w:val="1"/>
        <w:widowControl w:val="1"/>
      </w:pPr>
      <w:r>
        <w:t>La respuesta y recuperación se prueban y no se dejan a la improvisación heroica del técnico de guardia.</w:t>
      </w:r>
    </w:p>
    <w:p>
      <w:pPr>
        <w:pStyle w:val="ListBullet"/>
        <w:keepLines w:val="1"/>
        <w:keepNext w:val="1"/>
        <w:widowControl w:val="1"/>
      </w:pPr>
      <w:r>
        <w:t>La cultura y la formación permiten que la APT no entre por la puerta del phishing en el primer correo mínimamente convincente.</w:t>
      </w:r>
    </w:p>
    <w:p>
      <w:pPr>
        <w:pStyle w:val="ListBullet"/>
        <w:keepLines w:val="1"/>
        <w:widowControl w:val="1"/>
      </w:pPr>
      <w:r>
        <w:t>La inversión realizada tiene algún tipo de lógica cuantificable, aunque sea aproximada, y se pueda hablar de ROI sin rubor.</w:t>
      </w:r>
    </w:p>
    <w:p>
      <w:pPr>
        <w:pStyle w:val="Heading2"/>
        <w:keepNext/>
        <w:keepLines/>
      </w:pPr>
      <w:r>
        <w:rPr>
          <w:color w:val="0066CC"/>
        </w:rPr>
        <w:t>3. Cómo está construida</w:t>
      </w:r>
    </w:p>
    <w:p>
      <w:r>
        <w:t>La encuesta se ha diseñado a partir de:</w:t>
      </w:r>
    </w:p>
    <w:p>
      <w:pPr>
        <w:pStyle w:val="ListBullet"/>
        <w:keepLines w:val="1"/>
        <w:keepNext w:val="1"/>
        <w:widowControl w:val="1"/>
      </w:pPr>
      <w:r>
        <w:t>Las tendencias identificadas en informes recientes de agencias europeas y españolas, así como de fabricantes de referencia.</w:t>
      </w:r>
    </w:p>
    <w:p>
      <w:pPr>
        <w:pStyle w:val="ListBullet"/>
        <w:keepLines w:val="1"/>
        <w:keepNext w:val="1"/>
        <w:widowControl w:val="1"/>
      </w:pPr>
      <w:r>
        <w:t>Marcos de referencia ampliamente utilizados (NIST CSF, ISO 27001, NIS2, MITRE ATT&amp;CK, etc.).</w:t>
      </w:r>
    </w:p>
    <w:p>
      <w:pPr>
        <w:pStyle w:val="ListBullet"/>
        <w:keepLines w:val="1"/>
        <w:widowControl w:val="1"/>
      </w:pPr>
      <w:r>
        <w:t>El sentido común de quienes han tenido que explicar a su Consejo de Administración que el ransomware no se elimina con un antivirus "un poco mejor".</w:t>
      </w:r>
    </w:p>
    <w:p>
      <w:r>
        <w:t>Cada bloque busca recoger evidencia observable, no deseos piadosos. De ahí el uso de escalas de madurez (0–3) que obligan a diferenciar entre "lo tenemos escrito en una política" y "lo medimos, lo revisamos y actuamos en consecuencia".</w:t>
      </w:r>
    </w:p>
    <w:p>
      <w:pPr>
        <w:pStyle w:val="Heading2"/>
        <w:keepNext/>
        <w:keepLines/>
      </w:pPr>
      <w:r>
        <w:rPr>
          <w:color w:val="0066CC"/>
        </w:rPr>
        <w:t>4. Cómo leer los resultados</w:t>
      </w:r>
    </w:p>
    <w:p>
      <w:r>
        <w:t>Los resultados se pueden interpretar en varios niveles:</w:t>
      </w:r>
    </w:p>
    <w:p>
      <w:pPr>
        <w:pStyle w:val="ListBullet"/>
        <w:keepLines w:val="1"/>
        <w:keepNext w:val="1"/>
        <w:widowControl w:val="1"/>
      </w:pPr>
      <w:r>
        <w:t>Por bloque: para ver si la organización es fuerte en detección pero débil en gobernanza, o viceversa.</w:t>
      </w:r>
    </w:p>
    <w:p>
      <w:pPr>
        <w:pStyle w:val="ListBullet"/>
        <w:keepLines w:val="1"/>
        <w:keepNext w:val="1"/>
        <w:widowControl w:val="1"/>
      </w:pPr>
      <w:r>
        <w:t>Por indicador: para identificar agujeros concretos (por ejemplo, gestión de vulnerabilidades razonable, pero cero métricas de MTTR).</w:t>
      </w:r>
    </w:p>
    <w:p>
      <w:pPr>
        <w:pStyle w:val="ListBullet"/>
        <w:keepLines w:val="1"/>
        <w:widowControl w:val="1"/>
      </w:pPr>
      <w:r>
        <w:t>Globalmente: mediante el Índice Global de Madurez (IGM), que condensa la situación en un número entre 0 y 1.</w:t>
      </w:r>
    </w:p>
    <w:p>
      <w:r>
        <w:t>La idea no es obtener un "sello" de madurez perfecta, sino disponer de una brújula cuantitativa: saber si se avanza, se retrocede o se gira en círculos.</w:t>
      </w:r>
    </w:p>
    <w:p>
      <w:pPr>
        <w:pStyle w:val="Heading2"/>
        <w:keepNext/>
        <w:keepLines/>
      </w:pPr>
      <w:r>
        <w:rPr>
          <w:color w:val="0066CC"/>
        </w:rPr>
        <w:t>5. Qué NO es esta encuesta</w:t>
      </w:r>
    </w:p>
    <w:p>
      <w:pPr>
        <w:pStyle w:val="ListBullet"/>
        <w:keepLines w:val="1"/>
        <w:keepNext w:val="1"/>
        <w:widowControl w:val="1"/>
      </w:pPr>
      <w:r>
        <w:t>No es una auditoría formal ni sustituye a una certificación.</w:t>
      </w:r>
    </w:p>
    <w:p>
      <w:pPr>
        <w:pStyle w:val="ListBullet"/>
        <w:keepLines w:val="1"/>
        <w:keepNext w:val="1"/>
        <w:widowControl w:val="1"/>
      </w:pPr>
      <w:r>
        <w:t>No es un test de intrusión ni un informe forense.</w:t>
      </w:r>
    </w:p>
    <w:p>
      <w:pPr>
        <w:pStyle w:val="ListBullet"/>
        <w:keepLines w:val="1"/>
        <w:widowControl w:val="1"/>
      </w:pPr>
      <w:r>
        <w:t>No es un examen de conocimientos para humillar a nadie en público.</w:t>
      </w:r>
    </w:p>
    <w:p>
      <w:r>
        <w:t>Es una herramienta de autoevaluación y análisis comparado. Si al rellenarla aparecen preguntas incómodas, probablemente la encuesta esté cumpliendo su función.</w:t>
      </w:r>
    </w:p>
    <w:p>
      <w:pPr>
        <w:pStyle w:val="Heading2"/>
        <w:keepNext/>
        <w:keepLines/>
      </w:pPr>
      <w:r>
        <w:rPr>
          <w:color w:val="0066CC"/>
        </w:rPr>
        <w:t>6. Usos recomendados</w:t>
      </w:r>
    </w:p>
    <w:p>
      <w:pPr>
        <w:pStyle w:val="ListBullet"/>
        <w:keepLines w:val="1"/>
        <w:keepNext w:val="1"/>
        <w:widowControl w:val="1"/>
      </w:pPr>
      <w:r>
        <w:t>A nivel interno: como base para talleres con la alta dirección, comités de riesgo o equipos de TI y seguridad.</w:t>
      </w:r>
    </w:p>
    <w:p>
      <w:pPr>
        <w:pStyle w:val="ListBullet"/>
        <w:keepLines w:val="1"/>
        <w:keepNext w:val="1"/>
        <w:widowControl w:val="1"/>
      </w:pPr>
      <w:r>
        <w:t>A nivel sectorial: para estudios comparativos, informes anuales y benchmarking entre organizaciones similares.</w:t>
      </w:r>
    </w:p>
    <w:p>
      <w:pPr>
        <w:pStyle w:val="ListBullet"/>
        <w:keepLines w:val="1"/>
        <w:widowControl w:val="1"/>
      </w:pPr>
      <w:r>
        <w:t>A nivel nacional: para alimentar análisis agregados sobre el estado de la madurez frente a APT en España y orientar políticas públicas.</w:t>
      </w:r>
    </w:p>
    <w:p>
      <w:r>
        <w:t>Idealmente, la encuesta no debería quedarse en un PDF olvidado, sino integrarse en un ciclo periódico de medición (anual, bienal) que permita ver tendencias, no solo fotografías estáticas.</w:t>
      </w:r>
    </w:p>
    <w:p>
      <w:pPr>
        <w:pStyle w:val="Heading2"/>
        <w:keepNext/>
        <w:keepLines/>
      </w:pPr>
      <w:r>
        <w:rPr>
          <w:color w:val="0066CC"/>
        </w:rPr>
        <w:t>7. Epílogo</w:t>
      </w:r>
    </w:p>
    <w:p>
      <w:r>
        <w:t>Si esta encuesta consigue que al menos una organización:</w:t>
      </w:r>
    </w:p>
    <w:p>
      <w:pPr>
        <w:pStyle w:val="ListBullet"/>
        <w:keepLines w:val="1"/>
        <w:keepNext w:val="1"/>
        <w:widowControl w:val="1"/>
      </w:pPr>
      <w:r>
        <w:t>Deje de considerar la ciberseguridad como un mero coste obligatorio.</w:t>
      </w:r>
    </w:p>
    <w:p>
      <w:pPr>
        <w:pStyle w:val="ListBullet"/>
        <w:keepLines w:val="1"/>
        <w:keepNext w:val="1"/>
        <w:widowControl w:val="1"/>
      </w:pPr>
      <w:r>
        <w:t>Empiece a medir algo más que el número de incidencias abiertas en el helpdesk.</w:t>
      </w:r>
    </w:p>
    <w:p>
      <w:pPr>
        <w:pStyle w:val="ListBullet"/>
        <w:keepLines w:val="1"/>
        <w:widowControl w:val="1"/>
      </w:pPr>
      <w:r>
        <w:t>Y logre que su próxima conversación sobre APT con el Consejo de Administración incluya números y no solo adjetivos.</w:t>
      </w:r>
    </w:p>
    <w:p>
      <w:r>
        <w:t>Entonces, el tiempo invertido en diseñarla habrá estado razonablemente bien empleado.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