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keepNext/>
        <w:keepLines/>
      </w:pPr>
      <w:r>
        <w:rPr>
          <w:color w:val="003366"/>
        </w:rPr>
        <w:t>Plantilla de Reporte Ejecutivo (PowerPoint) para resultados de la encuesta GQM + PRAGMATIC APT</w:t>
      </w:r>
    </w:p>
    <w:p>
      <w:r>
        <w:rPr>
          <w:b/>
        </w:rPr>
        <w:t>Objetivo</w:t>
      </w:r>
      <w:r>
        <w:t>: presentar a alta dirección, consejos y comités de riesgo una visión clara, basada en evidencia, de la madurez frente a APT, la alineación con objetivos nacionales y el retorno de la inversión.</w:t>
      </w:r>
      <w:r/>
      <w:r>
        <w:br/>
        <w:t>Cada diapositiva incluye un título, un breve mensaje clave y sugerencias de visualización (gráficos, tablas, iconos).</w:t>
      </w:r>
      <w:r/>
      <w:r>
        <w:br/>
        <w:t>El diseño asume una plantilla corporativa con colores institucionalizados (ej. azul corporativo y gris) y uso de iconos simples.</w:t>
      </w:r>
    </w:p>
    <w:p>
      <w:pPr>
        <w:pStyle w:val="Heading2"/>
        <w:keepNext/>
        <w:keepLines/>
      </w:pPr>
      <w:r>
        <w:rPr>
          <w:color w:val="0066CC"/>
        </w:rPr>
        <w:t>Diapositiva 1 – Portada</w:t>
      </w:r>
    </w:p>
    <w:p>
      <w:pPr>
        <w:pStyle w:val="ListBullet"/>
        <w:keepLines w:val="1"/>
        <w:keepNext w:val="1"/>
        <w:widowControl w:val="1"/>
      </w:pPr>
      <w:r>
        <w:t xml:space="preserve">Título: Estado de Madurez frente a Amenazas Persistentes Avanzadas (APT)  </w:t>
      </w:r>
    </w:p>
    <w:p>
      <w:pPr>
        <w:pStyle w:val="ListBullet"/>
        <w:keepLines w:val="1"/>
        <w:keepNext w:val="1"/>
        <w:widowControl w:val="1"/>
      </w:pPr>
      <w:r>
        <w:t xml:space="preserve">Subtítulo: Resultados de la Encuesta de Autoevaluación GQM + PRAGMATIC  </w:t>
      </w:r>
    </w:p>
    <w:p>
      <w:pPr>
        <w:pStyle w:val="ListBullet"/>
        <w:keepLines w:val="1"/>
        <w:keepNext w:val="1"/>
        <w:widowControl w:val="1"/>
      </w:pPr>
      <w:r>
        <w:t xml:space="preserve">Datos: Nombre de la organización (o agregado sectorial), período de la encuesta (ej. abr‑jun 2026), logo de la entidad y logo del estudio (si corresponde).  </w:t>
      </w:r>
    </w:p>
    <w:p>
      <w:pPr>
        <w:pStyle w:val="ListBullet"/>
        <w:keepLines w:val="1"/>
        <w:widowControl w:val="1"/>
      </w:pPr>
      <w:r>
        <w:t>Nota al pie: “Informe basado en metodología GQM + PRAGMATIC, alineado con NIS2, NIST CSF 2.0, ISO 27001:2022 y MITRE ATT&amp;CK®”.</w:t>
      </w:r>
    </w:p>
    <w:p>
      <w:pPr>
        <w:pStyle w:val="Heading2"/>
        <w:keepNext/>
        <w:keepLines/>
      </w:pPr>
      <w:r>
        <w:rPr>
          <w:color w:val="0066CC"/>
        </w:rPr>
        <w:t>Diapositiva 2 – Contexto y objetivos</w:t>
      </w:r>
    </w:p>
    <w:p>
      <w:pPr>
        <w:pStyle w:val="ListBullet"/>
        <w:keepLines w:val="1"/>
        <w:keepNext w:val="1"/>
        <w:widowControl w:val="1"/>
      </w:pPr>
      <w:r>
        <w:t xml:space="preserve">Viñeta 1: Breve recordatorio de la amenaza APT en España (datos INCIBE 2025: 122 k incidentes, +26 % interanual).  </w:t>
      </w:r>
    </w:p>
    <w:p>
      <w:pPr>
        <w:pStyle w:val="ListBullet"/>
        <w:keepLines w:val="1"/>
        <w:keepNext w:val="1"/>
        <w:widowControl w:val="1"/>
      </w:pPr>
      <w:r>
        <w:t xml:space="preserve">Viñeta 2: Objetivos nacionales vinculados a la encuesta (reducir MTTD a ≤ 4 h, MTTR a ≤ 24 h, etc. – tabla resumida de Goals G1‑G7).  </w:t>
      </w:r>
    </w:p>
    <w:p>
      <w:pPr>
        <w:pStyle w:val="ListBullet"/>
        <w:keepLines w:val="1"/>
        <w:keepNext w:val="1"/>
        <w:widowControl w:val="1"/>
      </w:pPr>
      <w:r>
        <w:t xml:space="preserve">Viñeta 3: Metodología: GQM para trazar objetivos‑preguntas‑métricas; PRAGMATIC para garantizar calidad de las métricas.  </w:t>
      </w:r>
    </w:p>
    <w:p>
      <w:pPr>
        <w:pStyle w:val="ListBullet"/>
        <w:keepLines w:val="1"/>
        <w:widowControl w:val="1"/>
      </w:pPr>
      <w:r>
        <w:t>Visual: Icono de objetivo → pregunta → métrica (flujo simple).</w:t>
      </w:r>
    </w:p>
    <w:p>
      <w:pPr>
        <w:pStyle w:val="Heading2"/>
        <w:keepNext/>
        <w:keepLines/>
      </w:pPr>
      <w:r>
        <w:rPr>
          <w:color w:val="0066CC"/>
        </w:rPr>
        <w:t>Diapositiva 3 – Metodología y muestra</w:t>
      </w:r>
    </w:p>
    <w:p>
      <w:pPr>
        <w:pStyle w:val="ListBullet"/>
        <w:keepLines w:val="1"/>
        <w:keepNext w:val="1"/>
        <w:widowControl w:val="1"/>
      </w:pPr>
      <w:r>
        <w:t xml:space="preserve">Viñeta 1: Población objetivo: organizaciones con actividad en España, públicas y privadas, de todos los tamaños.  </w:t>
      </w:r>
    </w:p>
    <w:p>
      <w:pPr>
        <w:pStyle w:val="ListBullet"/>
        <w:keepLines w:val="1"/>
        <w:keepNext w:val="1"/>
        <w:widowControl w:val="1"/>
      </w:pPr>
      <w:r>
        <w:t xml:space="preserve">Viñeta 2: Técnica de muestreo: estratificado por sector y tamaño, con objetivo de ≥ 200 respuestas representativas.  </w:t>
      </w:r>
    </w:p>
    <w:p>
      <w:pPr>
        <w:pStyle w:val="ListBullet"/>
        <w:keepLines w:val="1"/>
        <w:keepNext w:val="1"/>
        <w:widowControl w:val="1"/>
      </w:pPr>
      <w:r>
        <w:t xml:space="preserve">Viñeta 3: Número de respuestas obtenidas y tasa de respuesta.  </w:t>
      </w:r>
    </w:p>
    <w:p>
      <w:pPr>
        <w:pStyle w:val="ListBullet"/>
        <w:keepLines w:val="1"/>
        <w:keepNext w:val="1"/>
        <w:widowControl w:val="1"/>
      </w:pPr>
      <w:r>
        <w:t xml:space="preserve">Viñeta 4: Escalas usadas: 0‑3 de madurez, opciones simples/múltiples, y campos de comentario abierto.  </w:t>
      </w:r>
    </w:p>
    <w:p>
      <w:pPr>
        <w:pStyle w:val="ListBullet"/>
        <w:keepLines w:val="1"/>
        <w:widowControl w:val="1"/>
      </w:pPr>
      <w:r>
        <w:t>Visual: Diagrama de bloques de la encuesta (10 bloques) con número de preguntas por bloque.</w:t>
      </w:r>
    </w:p>
    <w:p>
      <w:pPr>
        <w:pStyle w:val="Heading2"/>
        <w:keepNext/>
        <w:keepLines/>
      </w:pPr>
      <w:r>
        <w:rPr>
          <w:color w:val="0066CC"/>
        </w:rPr>
        <w:t>Diapositiva 4 – Índice Global de Madurez (IGM)</w:t>
      </w:r>
    </w:p>
    <w:p>
      <w:pPr>
        <w:pStyle w:val="ListBullet"/>
        <w:keepLines w:val="1"/>
        <w:keepNext w:val="1"/>
        <w:widowControl w:val="1"/>
      </w:pPr>
      <w:r>
        <w:t xml:space="preserve">Mensaje clave: El IGM resume en un solo número (0‑1) la capacidad de la organización para detectar, responder y prevenir APT.  </w:t>
      </w:r>
    </w:p>
    <w:p>
      <w:pPr>
        <w:pStyle w:val="ListBullet"/>
        <w:keepLines w:val="1"/>
        <w:keepNext w:val="1"/>
        <w:widowControl w:val="1"/>
      </w:pPr>
      <w:r>
        <w:t xml:space="preserve">Gráfico: Medidor tipo gauge o barra horizontal que muestra el IGM promedio de la muestra (ej. 0.58) con rangos de interpretación (0‑0.25 inicial, 0.26‑0.50 básica, 0.51‑0.75 intermedia, 0.76‑1.00 avanzada).  </w:t>
      </w:r>
    </w:p>
    <w:p>
      <w:pPr>
        <w:pStyle w:val="ListBullet"/>
        <w:keepLines w:val="1"/>
        <w:keepNext w:val="1"/>
        <w:widowControl w:val="1"/>
      </w:pPr>
      <w:r>
        <w:t xml:space="preserve">Comparativa: Línea de referencia del IGM medio nacional (si se dispone) y del sector concreto.  </w:t>
      </w:r>
    </w:p>
    <w:p>
      <w:pPr>
        <w:pStyle w:val="ListBullet"/>
        <w:keepLines w:val="1"/>
        <w:widowControl w:val="1"/>
      </w:pPr>
      <w:r>
        <w:t>Nota: Desglose por bloque (ver diapositiva 5).</w:t>
      </w:r>
    </w:p>
    <w:p>
      <w:pPr>
        <w:pStyle w:val="Heading2"/>
        <w:keepNext/>
        <w:keepLines/>
      </w:pPr>
      <w:r>
        <w:rPr>
          <w:color w:val="0066CC"/>
        </w:rPr>
        <w:t>Diapositiva 5 – Madurez por bloques (radar o barra apilada)</w:t>
      </w:r>
    </w:p>
    <w:p>
      <w:pPr>
        <w:pStyle w:val="ListBullet"/>
        <w:keepLines w:val="1"/>
        <w:keepNext w:val="1"/>
        <w:widowControl w:val="1"/>
      </w:pPr>
      <w:r>
        <w:t xml:space="preserve">Eje X: Bloques (Gobernanza, Riesgo, Vectores de entrada, Detección, Respuesta, Cultura, Inversión, Colaboración, Visión de futuro).  </w:t>
      </w:r>
    </w:p>
    <w:p>
      <w:pPr>
        <w:pStyle w:val="ListBullet"/>
        <w:keepLines w:val="1"/>
        <w:keepNext w:val="1"/>
        <w:widowControl w:val="1"/>
      </w:pPr>
      <w:r>
        <w:t xml:space="preserve">Eje Y: Valor del sub‑índice IGM_b (0‑1).  </w:t>
      </w:r>
    </w:p>
    <w:p>
      <w:pPr>
        <w:pStyle w:val="ListBullet"/>
        <w:keepLines w:val="1"/>
        <w:keepNext w:val="1"/>
        <w:widowControl w:val="1"/>
      </w:pPr>
      <w:r>
        <w:t xml:space="preserve">Tipo de gráfico: Radar (para ver fortalezas y debilidades) o barra apilada horizontal (para facilitar lectura).  </w:t>
      </w:r>
    </w:p>
    <w:p>
      <w:pPr>
        <w:pStyle w:val="ListBullet"/>
        <w:keepLines w:val="1"/>
        <w:keepNext w:val="1"/>
        <w:widowControl w:val="1"/>
      </w:pPr>
      <w:r>
        <w:t xml:space="preserve">Highlight: Bloques con IGM_b &lt; 0.4 (áreas de mejora crítica) y &gt; 0.7 (fortalezas).  </w:t>
      </w:r>
    </w:p>
    <w:p>
      <w:pPr>
        <w:pStyle w:val="ListBullet"/>
        <w:keepLines w:val="1"/>
        <w:widowControl w:val="1"/>
      </w:pPr>
      <w:r>
        <w:t>Comentario: Breve interpretación de los resultados más relevantes (ej. “La detección es relativamente fuerte (0.62) pero la gobernanza muestra oportunidad (0.48)”).</w:t>
      </w:r>
    </w:p>
    <w:p>
      <w:pPr>
        <w:pStyle w:val="Heading2"/>
        <w:keepNext/>
        <w:keepLines/>
      </w:pPr>
      <w:r>
        <w:rPr>
          <w:color w:val="0066CC"/>
        </w:rPr>
        <w:t>Diapositiva 6 – Métricas operativas clave (MTTD, MTTR, MTTP, % Phishing)</w:t>
      </w:r>
    </w:p>
    <w:p>
      <w:pPr>
        <w:pStyle w:val="ListBullet"/>
        <w:keepLines w:val="1"/>
        <w:keepNext w:val="1"/>
        <w:widowControl w:val="1"/>
      </w:pPr>
      <w:r>
        <w:t xml:space="preserve">Tabla: Métrica | Valor medio muestra | Objetivo nacional (2027) | Cumplimiento (Sí/Parcial/No)  </w:t>
      </w:r>
    </w:p>
    <w:p>
      <w:pPr>
        <w:pStyle w:val="ListBullet"/>
        <w:keepLines w:val="1"/>
        <w:keepNext w:val="1"/>
        <w:widowControl w:val="1"/>
      </w:pPr>
      <w:r>
        <w:t xml:space="preserve">MTTD (h) | X.X | ≤ 4 |  </w:t>
      </w:r>
    </w:p>
    <w:p>
      <w:pPr>
        <w:pStyle w:val="ListBullet"/>
        <w:keepLines w:val="1"/>
        <w:keepNext w:val="1"/>
        <w:widowControl w:val="1"/>
      </w:pPr>
      <w:r>
        <w:t xml:space="preserve">MTTR (h) | X.X | ≤ 24 |  </w:t>
      </w:r>
    </w:p>
    <w:p>
      <w:pPr>
        <w:pStyle w:val="ListBullet"/>
        <w:keepLines w:val="1"/>
        <w:keepNext w:val="1"/>
        <w:widowControl w:val="1"/>
      </w:pPr>
      <w:r>
        <w:t xml:space="preserve">MTTP (días) | X.X | ≤ 7 |  </w:t>
      </w:r>
    </w:p>
    <w:p>
      <w:pPr>
        <w:pStyle w:val="ListBullet"/>
        <w:keepLines w:val="1"/>
        <w:keepNext w:val="1"/>
        <w:widowControl w:val="1"/>
      </w:pPr>
      <w:r>
        <w:t xml:space="preserve">% Phishing | X% | ≤ 15% |  </w:t>
      </w:r>
    </w:p>
    <w:p>
      <w:pPr>
        <w:pStyle w:val="ListBullet"/>
        <w:keepLines w:val="1"/>
        <w:keepNext w:val="1"/>
        <w:widowControl w:val="1"/>
      </w:pPr>
      <w:r>
        <w:t xml:space="preserve">Gráfico de tendencias (si se dispone de históricos): evolución de cada métrica a lo largo de los últimos 3 años (si la encuesta se repite).  </w:t>
      </w:r>
    </w:p>
    <w:p>
      <w:pPr>
        <w:pStyle w:val="ListBullet"/>
        <w:keepLines w:val="1"/>
        <w:widowControl w:val="1"/>
      </w:pPr>
      <w:r>
        <w:t>Icono de alerta (🔴/🟡/🟢) según nivel de cumplimiento.</w:t>
      </w:r>
    </w:p>
    <w:p>
      <w:pPr>
        <w:pStyle w:val="Heading2"/>
        <w:keepNext/>
        <w:keepLines/>
      </w:pPr>
      <w:r>
        <w:rPr>
          <w:color w:val="0066CC"/>
        </w:rPr>
        <w:t>Diapositiva 7 – Cobertura de TTPs MITRE ATT&amp;CK</w:t>
      </w:r>
    </w:p>
    <w:p>
      <w:pPr>
        <w:pStyle w:val="ListBullet"/>
        <w:keepLines w:val="1"/>
        <w:keepNext w:val="1"/>
        <w:widowControl w:val="1"/>
      </w:pPr>
      <w:r>
        <w:t xml:space="preserve">Mensaje: La detección basada en comportamiento es esencial para anticipar APT.  </w:t>
      </w:r>
    </w:p>
    <w:p>
      <w:pPr>
        <w:pStyle w:val="ListBullet"/>
        <w:keepLines w:val="1"/>
        <w:keepNext w:val="1"/>
        <w:widowControl w:val="1"/>
      </w:pPr>
      <w:r>
        <w:t xml:space="preserve">Tabla: TTP | Puntuación media (0‑3) | Nivel de capacidad (Bajo/Medio/Alto) | Comentario (ej. “Se detecta manualmente en logs”).  </w:t>
      </w:r>
    </w:p>
    <w:p>
      <w:pPr>
        <w:pStyle w:val="ListBullet"/>
        <w:keepLines w:val="1"/>
        <w:keepNext w:val="1"/>
        <w:widowControl w:val="1"/>
      </w:pPr>
      <w:r>
        <w:t xml:space="preserve">System Information Discovery  </w:t>
      </w:r>
    </w:p>
    <w:p>
      <w:pPr>
        <w:pStyle w:val="ListBullet"/>
        <w:keepLines w:val="1"/>
        <w:keepNext w:val="1"/>
        <w:widowControl w:val="1"/>
      </w:pPr>
      <w:r>
        <w:t xml:space="preserve">Ingress Tool Transfer  </w:t>
      </w:r>
    </w:p>
    <w:p>
      <w:pPr>
        <w:pStyle w:val="ListBullet"/>
        <w:keepLines w:val="1"/>
        <w:keepNext w:val="1"/>
        <w:widowControl w:val="1"/>
      </w:pPr>
      <w:r>
        <w:t xml:space="preserve">Web Protocols (C2)  </w:t>
      </w:r>
    </w:p>
    <w:p>
      <w:pPr>
        <w:pStyle w:val="ListBullet"/>
        <w:keepLines w:val="1"/>
        <w:keepNext w:val="1"/>
        <w:widowControl w:val="1"/>
      </w:pPr>
      <w:r>
        <w:t xml:space="preserve">Credential Access  </w:t>
      </w:r>
    </w:p>
    <w:p>
      <w:pPr>
        <w:pStyle w:val="ListBullet"/>
        <w:keepLines w:val="1"/>
        <w:keepNext w:val="1"/>
        <w:widowControl w:val="1"/>
      </w:pPr>
      <w:r>
        <w:t xml:space="preserve">Lateral Movement  </w:t>
      </w:r>
    </w:p>
    <w:p>
      <w:pPr>
        <w:pStyle w:val="ListBullet"/>
        <w:keepLines w:val="1"/>
        <w:keepNext w:val="1"/>
        <w:widowControl w:val="1"/>
      </w:pPr>
      <w:r>
        <w:t xml:space="preserve">Gráfico de barras: puntuación media por TTP.  </w:t>
      </w:r>
    </w:p>
    <w:p>
      <w:pPr>
        <w:pStyle w:val="ListBullet"/>
        <w:keepLines w:val="1"/>
        <w:widowControl w:val="1"/>
      </w:pPr>
      <w:r>
        <w:t>Nota: Se indica qué porcentaje de organizaciones alcanzó nivel 3 (detección automatizada y correlacionada).</w:t>
      </w:r>
    </w:p>
    <w:p>
      <w:pPr>
        <w:pStyle w:val="Heading2"/>
        <w:keepNext/>
        <w:keepLines/>
      </w:pPr>
      <w:r>
        <w:rPr>
          <w:color w:val="0066CC"/>
        </w:rPr>
        <w:t>Diapositiva 8 – Plan de respuesta y simulacros</w:t>
      </w:r>
    </w:p>
    <w:p>
      <w:pPr>
        <w:pStyle w:val="ListBullet"/>
        <w:keepLines w:val="1"/>
        <w:keepNext w:val="1"/>
        <w:widowControl w:val="1"/>
      </w:pPr>
      <w:r>
        <w:t xml:space="preserve">Viñeta 1: % organizaciones con Plan de Respuesta a Incidentes formal (Alineado ISO 27035).  </w:t>
      </w:r>
    </w:p>
    <w:p>
      <w:pPr>
        <w:pStyle w:val="ListBullet"/>
        <w:keepLines w:val="1"/>
        <w:keepNext w:val="1"/>
        <w:widowControl w:val="1"/>
      </w:pPr>
      <w:r>
        <w:t xml:space="preserve">Viñeta 2: Frecuencia de ejercicios: table‑top anual, red team/purple team, etc.  </w:t>
      </w:r>
    </w:p>
    <w:p>
      <w:pPr>
        <w:pStyle w:val="ListBullet"/>
        <w:keepLines w:val="1"/>
        <w:keepNext w:val="1"/>
        <w:widowControl w:val="1"/>
      </w:pPr>
      <w:r>
        <w:t xml:space="preserve">Viñeta 3: Métricas operativas de respuesta (MTTR contención, MTTR erradicación, tiempo de comunicación al Consejo).  </w:t>
      </w:r>
    </w:p>
    <w:p>
      <w:pPr>
        <w:pStyle w:val="ListBullet"/>
        <w:keepLines w:val="1"/>
        <w:keepNext w:val="1"/>
        <w:widowControl w:val="1"/>
      </w:pPr>
      <w:r>
        <w:t xml:space="preserve">Visual: Línea de tiempo de un incidente típico con marcas de detección, contención, erradicación y comunicación.  </w:t>
      </w:r>
    </w:p>
    <w:p>
      <w:pPr>
        <w:pStyle w:val="ListBullet"/>
        <w:keepLines w:val="1"/>
        <w:widowControl w:val="1"/>
      </w:pPr>
      <w:r>
        <w:t>Comentario: Breve reflexión sobre la necesidad de aumentar la frecuencia y realismo de los simulacros.</w:t>
      </w:r>
    </w:p>
    <w:p>
      <w:pPr>
        <w:pStyle w:val="Heading2"/>
        <w:keepNext/>
        <w:keepLines/>
      </w:pPr>
      <w:r>
        <w:rPr>
          <w:color w:val="0066CC"/>
        </w:rPr>
        <w:t>Diapositiva 9 – Cultura, formación y reporte</w:t>
      </w:r>
    </w:p>
    <w:p>
      <w:pPr>
        <w:pStyle w:val="ListBullet"/>
        <w:keepLines w:val="1"/>
        <w:keepNext w:val="1"/>
        <w:widowControl w:val="1"/>
      </w:pPr>
      <w:r>
        <w:t xml:space="preserve">Viñeta 1: % con formación obligatoria anual para todo el personal.  </w:t>
      </w:r>
    </w:p>
    <w:p>
      <w:pPr>
        <w:pStyle w:val="ListBullet"/>
        <w:keepLines w:val="1"/>
        <w:keepNext w:val="1"/>
        <w:widowControl w:val="1"/>
      </w:pPr>
      <w:r>
        <w:t xml:space="preserve">Viñeta 2: Existencia de canales de reporte (botón en correo, buzón seguridad, anónimo).  </w:t>
      </w:r>
    </w:p>
    <w:p>
      <w:pPr>
        <w:pStyle w:val="ListBullet"/>
        <w:keepLines w:val="1"/>
        <w:keepNext w:val="1"/>
        <w:widowControl w:val="1"/>
      </w:pPr>
      <w:r>
        <w:t xml:space="preserve">Viñeta 3: Número medio de reportes de phishing por 1 000 empleados/año.  </w:t>
      </w:r>
    </w:p>
    <w:p>
      <w:pPr>
        <w:pStyle w:val="ListBullet"/>
        <w:keepLines w:val="1"/>
        <w:keepNext w:val="1"/>
        <w:widowControl w:val="1"/>
      </w:pPr>
      <w:r>
        <w:t xml:space="preserve">Viñeta 4: Percepción interna de la ciberseguridad como prioridad estratégica (Alta/Media/Baja/Muy baja).  </w:t>
      </w:r>
    </w:p>
    <w:p>
      <w:pPr>
        <w:pStyle w:val="ListBullet"/>
        <w:keepLines w:val="1"/>
        <w:keepNext w:val="1"/>
        <w:widowControl w:val="1"/>
      </w:pPr>
      <w:r>
        <w:t xml:space="preserve">Gráfico: Distribución de respuestas a la pregunta 32 (pie chart).  </w:t>
      </w:r>
    </w:p>
    <w:p>
      <w:pPr>
        <w:pStyle w:val="ListBullet"/>
        <w:keepLines w:val="1"/>
        <w:widowControl w:val="1"/>
      </w:pPr>
      <w:r>
        <w:t>Comentario: Correlación entre cultura de reporte y reducción de % phishing (si los datos lo permiten).</w:t>
      </w:r>
    </w:p>
    <w:p>
      <w:pPr>
        <w:pStyle w:val="Heading2"/>
        <w:keepNext/>
        <w:keepLines/>
      </w:pPr>
      <w:r>
        <w:rPr>
          <w:color w:val="0066CC"/>
        </w:rPr>
        <w:t>Diapositiva 10 – Inversión, ROI y prioridades</w:t>
      </w:r>
    </w:p>
    <w:p>
      <w:pPr>
        <w:pStyle w:val="ListBullet"/>
        <w:keepLines w:val="1"/>
        <w:keepNext w:val="1"/>
        <w:widowControl w:val="1"/>
      </w:pPr>
      <w:r>
        <w:t xml:space="preserve">Viñeta 1: Rango de inversión anual (% del presupuesto de TI) por sector (box‑plot).  </w:t>
      </w:r>
    </w:p>
    <w:p>
      <w:pPr>
        <w:pStyle w:val="ListBullet"/>
        <w:keepLines w:val="1"/>
        <w:keepNext w:val="1"/>
        <w:widowControl w:val="1"/>
      </w:pPr>
      <w:r>
        <w:t xml:space="preserve">Viñeta 2: Existencia de modelo de ROI formal (Sí/Parcial/No).  </w:t>
      </w:r>
    </w:p>
    <w:p>
      <w:pPr>
        <w:pStyle w:val="ListBullet"/>
        <w:keepLines w:val="1"/>
        <w:keepNext w:val="1"/>
        <w:widowControl w:val="1"/>
      </w:pPr>
      <w:r>
        <w:t xml:space="preserve">Viñeta 3: ROI medio estimado bajo escenarios realista y optimista (ver plantilla Excel).  </w:t>
      </w:r>
    </w:p>
    <w:p>
      <w:pPr>
        <w:pStyle w:val="ListBullet"/>
        <w:keepLines w:val="1"/>
        <w:keepNext w:val="1"/>
        <w:widowControl w:val="1"/>
      </w:pPr>
      <w:r>
        <w:t xml:space="preserve">Viñeta 4: Top‑3 de prioridades de inversión seleccionadas por las organizaciones (agrupación de respuestas a P41).  </w:t>
      </w:r>
    </w:p>
    <w:p>
      <w:pPr>
        <w:pStyle w:val="ListBullet"/>
        <w:keepLines w:val="1"/>
        <w:keepNext w:val="1"/>
        <w:widowControl w:val="1"/>
      </w:pPr>
      <w:r>
        <w:t xml:space="preserve">Visual: Gráfico de barras horizontales con las tres prioridades más votadas.  </w:t>
      </w:r>
    </w:p>
    <w:p>
      <w:pPr>
        <w:pStyle w:val="ListBullet"/>
        <w:keepLines w:val="1"/>
        <w:widowControl w:val="1"/>
      </w:pPr>
      <w:r>
        <w:t>Nota: Conexión entre mayor IGM y mayor ROI (dispersión opcional).</w:t>
      </w:r>
    </w:p>
    <w:p>
      <w:pPr>
        <w:pStyle w:val="Heading2"/>
        <w:keepNext/>
        <w:keepLines/>
      </w:pPr>
      <w:r>
        <w:rPr>
          <w:color w:val="0066CC"/>
        </w:rPr>
        <w:t>Diapositiva 11 – Roadmap de mejora (12‑24 meses)</w:t>
      </w:r>
    </w:p>
    <w:p>
      <w:pPr>
        <w:pStyle w:val="ListBullet"/>
        <w:keepLines w:val="1"/>
        <w:keepNext w:val="1"/>
        <w:widowControl w:val="1"/>
      </w:pPr>
      <w:r>
        <w:t xml:space="preserve">Encabezado: Acciones recomendadas basadas en los resultados de la encuesta.  </w:t>
      </w:r>
    </w:p>
    <w:p>
      <w:pPr>
        <w:pStyle w:val="ListBullet"/>
        <w:keepLines w:val="1"/>
        <w:keepNext w:val="1"/>
        <w:widowControl w:val="1"/>
      </w:pPr>
      <w:r>
        <w:t>Tabla de fases:</w:t>
        <w:br/>
        <w:t xml:space="preserve">  | Trimestre | Área | Acción principal | Métrica de seguimiento | Responsable |</w:t>
        <w:br/>
        <w:t xml:space="preserve">  |-----------|------|------------------|------------------------|-------------|</w:t>
        <w:br/>
        <w:t xml:space="preserve">  | Q3‑2026 | Gobernanza | Aprobar estrategia APT a nivel de Consejo | IGM_Gobernanza ≥ 0.55 | CISO/Consejo |</w:t>
        <w:br/>
        <w:t xml:space="preserve">  | Q4‑2026 | Detección | Implementar correlación de TTPs MITRE en SIEM | IGM_Detección ≥ 0.65 | SOC Lead |</w:t>
        <w:br/>
        <w:t xml:space="preserve">  | Q1‑2027 | Vulnerabilidades | Automatizar parcheo ≤ 7 días CVSS ≥ 7 | MTTP ≤ 5 días | Equipo de Parcheo |</w:t>
        <w:br/>
        <w:t xml:space="preserve">  | Q2‑2027 | Cultura | Lanzar campaña de simulacros de phishing trimestrales | % Phishing ↓ 20 % | Formación |</w:t>
        <w:br/>
        <w:t xml:space="preserve">  | Q3‑2027 | Respuesta | Ejercicio red team enfocado en cadena de suministro | Tiempo de comunicación al Consejo ≤ 2 h | Equipo de Respuesta |</w:t>
        <w:br/>
        <w:t xml:space="preserve">  | Q4‑2027 | Inversión | Aprobar presupuesto para SOAR y automatización de respuesta | ROI ≥ 1.5 | CFO/CISO |</w:t>
      </w:r>
    </w:p>
    <w:p>
      <w:pPr>
        <w:pStyle w:val="ListBullet"/>
        <w:keepLines w:val="1"/>
        <w:keepNext w:val="1"/>
        <w:widowControl w:val="1"/>
      </w:pPr>
      <w:r>
        <w:t xml:space="preserve">Visual: Diagrama de Gantt simplificado o línea de tiempo con hitos.  </w:t>
      </w:r>
    </w:p>
    <w:p>
      <w:pPr>
        <w:pStyle w:val="ListBullet"/>
        <w:keepLines w:val="1"/>
        <w:widowControl w:val="1"/>
      </w:pPr>
      <w:r>
        <w:t>Comentario: El roadmap es flexible; cada organización puede adaptar los trimestres según su capacidad de gasto y recursos.</w:t>
      </w:r>
    </w:p>
    <w:p>
      <w:pPr>
        <w:pStyle w:val="Heading2"/>
        <w:keepNext/>
        <w:keepLines/>
      </w:pPr>
      <w:r>
        <w:rPr>
          <w:color w:val="0066CC"/>
        </w:rPr>
        <w:t>Diapositiva 12 – Conclusiones y próximos pasos</w:t>
      </w:r>
    </w:p>
    <w:p>
      <w:pPr>
        <w:pStyle w:val="ListBullet"/>
        <w:keepLines w:val="1"/>
        <w:keepNext w:val="1"/>
        <w:widowControl w:val="1"/>
      </w:pPr>
      <w:r>
        <w:t xml:space="preserve">Viñeta 1: Resumen de los hallazgos más críticos (ej. “La detección de TTPs es aceptable, pero la gobernanza y la actualización de parches requieren atención inmediata”).  </w:t>
      </w:r>
    </w:p>
    <w:p>
      <w:pPr>
        <w:pStyle w:val="ListBullet"/>
        <w:keepLines w:val="1"/>
        <w:keepNext w:val="1"/>
        <w:widowControl w:val="1"/>
      </w:pPr>
      <w:r>
        <w:t xml:space="preserve">Viñeta 2: Propuesta de periodicidad de la encuesta (anual) para monitorizar evolución del IGM y ROI.  </w:t>
      </w:r>
    </w:p>
    <w:p>
      <w:pPr>
        <w:pStyle w:val="ListBullet"/>
        <w:keepLines w:val="1"/>
        <w:keepNext w:val="1"/>
        <w:widowControl w:val="1"/>
      </w:pPr>
      <w:r>
        <w:t xml:space="preserve">Viñeta 3: Próximos proyectos sugeridos: evaluación de brechas específica, prueba de intrusión enfocada en APT, programa de concienciación continua.  </w:t>
      </w:r>
    </w:p>
    <w:p>
      <w:pPr>
        <w:pStyle w:val="ListBullet"/>
        <w:keepLines w:val="1"/>
        <w:widowControl w:val="1"/>
      </w:pPr>
      <w:r>
        <w:t>Viñeta 4: Invitación a participar en foros de intercambio de buenas prácticas entre organizaciones del mismo sector.</w:t>
      </w:r>
    </w:p>
    <w:p>
      <w:pPr>
        <w:pStyle w:val="Heading2"/>
        <w:keepNext/>
        <w:keepLines/>
      </w:pPr>
      <w:r>
        <w:rPr>
          <w:color w:val="0066CC"/>
        </w:rPr>
        <w:t>Diapositiva 13 – Preguntas y discusión</w:t>
      </w:r>
    </w:p>
    <w:p>
      <w:pPr>
        <w:pStyle w:val="ListBullet"/>
        <w:keepLines w:val="1"/>
        <w:keepNext w:val="1"/>
        <w:widowControl w:val="1"/>
      </w:pPr>
      <w:r>
        <w:t xml:space="preserve">Espacio en blanco para comentarios, preguntas del público y anotaciones del presentador.  </w:t>
      </w:r>
    </w:p>
    <w:p>
      <w:pPr>
        <w:pStyle w:val="ListBullet"/>
        <w:keepLines w:val="1"/>
        <w:widowControl w:val="1"/>
      </w:pPr>
      <w:r>
        <w:t>Logo y datos de contacto del equipo responsable del estudio.</w:t>
      </w:r>
    </w:p>
    <w:p>
      <w:pPr>
        <w:pStyle w:val="Heading3"/>
        <w:keepNext/>
        <w:keepLines/>
      </w:pPr>
      <w:r>
        <w:t>Notas de diseño</w:t>
      </w:r>
    </w:p>
    <w:p>
      <w:pPr>
        <w:pStyle w:val="ListBullet"/>
        <w:keepLines w:val="1"/>
        <w:keepNext w:val="1"/>
        <w:widowControl w:val="1"/>
      </w:pPr>
      <w:r>
        <w:t xml:space="preserve">Tipografía: Sans‑serif legible (Calibri, Helvetica, Lato).  </w:t>
      </w:r>
    </w:p>
    <w:p>
      <w:pPr>
        <w:pStyle w:val="ListBullet"/>
        <w:keepLines w:val="1"/>
        <w:keepNext w:val="1"/>
        <w:widowControl w:val="1"/>
      </w:pPr>
      <w:r>
        <w:t xml:space="preserve">Colores: Azul corporativo para títulos, gris oscuro para texto, verde para indicadores positivos, ámbar para advertencias, rojo para áreas críticas.  </w:t>
      </w:r>
    </w:p>
    <w:p>
      <w:pPr>
        <w:pStyle w:val="ListBullet"/>
        <w:keepLines w:val="1"/>
        <w:keepNext w:val="1"/>
        <w:widowControl w:val="1"/>
      </w:pPr>
      <w:r>
        <w:t xml:space="preserve">Iconos: usar un set consistente (ej. Material Icons o Fluorescent) para objetivos, preguntas, métricas, etc.  </w:t>
      </w:r>
    </w:p>
    <w:p>
      <w:pPr>
        <w:pStyle w:val="ListBullet"/>
        <w:keepLines w:val="1"/>
        <w:widowControl w:val="1"/>
      </w:pPr>
      <w:r>
        <w:t xml:space="preserve">Pie de página: número de diapositiva y confidencialidad (si corresponde).  </w:t>
      </w:r>
    </w:p>
    <w:p>
      <w:pPr>
        <w:pStyle w:val="Heading2"/>
        <w:keepNext/>
        <w:keepLines/>
      </w:pPr>
      <w:r>
        <w:rPr>
          <w:color w:val="0066CC"/>
        </w:rPr>
        <w:t>Esta plantilla puede copiarse directamente a PowerPoint, Google Slides o Keynote sustituyendo los textos de ejemplo por los valores reales obtenidos de las hojas de cálculo del IGM y el ROI.</w:t>
      </w:r>
    </w:p>
    <w:sectPr w:rsidR="00FC693F" w:rsidRPr="0006063C" w:rsidSect="00034616">
      <w:headerReference w:type="default" r:id="rId9"/>
      <w:pgSz w:w="12240" w:h="15840"/>
      <w:pgMar w:top="216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drawing>
        <wp:inline xmlns:a="http://schemas.openxmlformats.org/drawingml/2006/main" xmlns:pic="http://schemas.openxmlformats.org/drawingml/2006/picture">
          <wp:extent cx="5943600" cy="310597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INCIBE+ULE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5943600" cy="310597"/>
                  </a:xfrm>
                  <a:prstGeom prst="rect"/>
                </pic:spPr>
              </pic:pic>
            </a:graphicData>
          </a:graphic>
        </wp:inline>
      </w:drawing>
    </w:r>
  </w:p>
  <w:p>
    <w:pPr>
      <w:spacing w:after="120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