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del Índice Global de Madurez (IGM) y ROI de ciberseguridad</w:t>
      </w:r>
    </w:p>
    <w:p>
      <w:r>
        <w:rPr>
          <w:i/>
        </w:rPr>
        <w:t>(basada exclusivamente en las métricas aprobadas por GQM + PRAGMATIC)</w:t>
      </w:r>
    </w:p>
    <w:p>
      <w:pPr>
        <w:pStyle w:val="Heading2"/>
        <w:keepNext/>
        <w:keepLines/>
      </w:pPr>
      <w:r>
        <w:rPr>
          <w:color w:val="0066CC"/>
        </w:rPr>
        <w:t>1. Estructura del libro de trabajo</w:t>
      </w:r>
    </w:p>
    <w:p>
      <w:r>
        <w:t xml:space="preserve">Se recomiendan </w:t>
      </w:r>
      <w:r>
        <w:rPr>
          <w:b/>
        </w:rPr>
        <w:t>cuatro hojas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1_Respuestas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Registro bruto de las respuestas de cada organización (una fila por entidad).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2_Puntuaciones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Conversión de respuestas a valores numéricos según la tabla de puntuación GQM.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3_IGM_Cálculo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Cálculo de sub‑índices por bloque y del IGM global.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4_ROI_Escenarios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Estimación del ROI bajo diferentes hipótesis de pérdida evitada.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Hoja 1_Respuestas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ID_Org (código alfanumérico único)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ESP001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(energía, sanidad, TIC, etc.)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Tamaño (rango de empleados)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250‑999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Ámbito (local/nacional/UE/global)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Fecha_resp (dd/mm/aaaa)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02/04/2026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F‑AO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Preg_1 … Preg_42 (texto de la respuesta tal como se selecciona en la encuesta)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Sí, aprobada por el máximo órgano de gobierno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(Las columnas F‑AO pueden ser listas desplegables con las opciones exactas de cada pregunta para asegurar consistencia.)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Hoja 2_Puntuaciones</w:t>
      </w:r>
    </w:p>
    <w:p>
      <w:r>
        <w:t xml:space="preserve">Se copian las columnas A‑E de </w:t>
      </w:r>
      <w:r>
        <w:rPr>
          <w:b/>
        </w:rPr>
        <w:t>1_Respuestas</w:t>
      </w:r>
      <w:r>
        <w:t xml:space="preserve"> y se añaden columnas de puntuación para cada pregunta que contribuye al IGM o al ROI.</w:t>
      </w:r>
    </w:p>
    <w:p>
      <w:pPr>
        <w:pStyle w:val="Heading3"/>
        <w:keepNext/>
        <w:keepLines/>
      </w:pPr>
      <w:r>
        <w:t>3.1. Reglas de conversión (ejemplos)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numérica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P6 (estrategia formal)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Máximo órgano de gobierno = 3  Dirección intermedia = 2  En elaboración = 1  Prácticas dispersas / No existe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P7 (alineamiento con marcos)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múltiple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marco marcado suma 1 (máx. 6) → luego se normaliza a 0‑3 dividiendo por 2 y redondeando hacia abajo.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P8 (cumplimiento 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Completamente alineados = 3  Parcialmente alineados = 2  Fase inicial = 1  No aplica / No evaluado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P9 (revisión periódica)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con reporte al máximo órgano = 3  Cada 2‑3 años = 2  Solo tras incidente = 1  Sin periodicidad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P10 (participación Consejo)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Recurrente ≥4 veces/año = 3  1‑3 veces/año = 2  Solo tras incidente grave = 1  No se informa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P11 (mapa de riesgos con APT)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Sí, con escenarios = 3  Sí, pero diluido = 2  En elaboración = 1  No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P12 (frecuencia actualización riesgo)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= 3  Cada 2‑3 años = 2  Tras cambios significativos = 1  No sistemática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P13.1‑P13.6, P22.1‑P22.5, P27.1‑P27.3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Escala 0‑3 (directa)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Valor tal cual (0‑3)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P14 (cuantificación económica)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Metodología formal (FAIR, etc.) = 3  Estimaciones numéricas aproximadas = 2  Solo escalas cualitativas = 1  No se realiza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P15 (integración continuidad)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Totalmente integrado = 3  Parcialmente integrado = 2  Mencionado sin desarrollo = 1  No integrado = 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P16‑P20, P21, P23‑P24, P25‑P26, P28‑P32, P33‑P36, P37‑P39, P40‑P41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Según su tipo (selección simple/múltiple, escala, etc.) – aplicar reglas análogas a las anteriores.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P42 (comentario abierto)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 se puntúa (se deja como texto libre).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—</w:t>
            </w:r>
          </w:p>
        </w:tc>
      </w:tr>
    </w:tbl>
    <w:p/>
    <w:p>
      <w:r>
        <w:rPr>
          <w:b/>
        </w:rPr>
        <w:t>Implementación</w:t>
      </w:r>
      <w:r>
        <w:t xml:space="preserve">: usar fórmulas </w:t>
      </w:r>
      <w:r>
        <w:rPr>
          <w:rFonts w:ascii="Courier New" w:hAnsi="Courier New"/>
          <w:sz w:val="18"/>
        </w:rPr>
        <w:t>=SI()</w:t>
      </w:r>
      <w:r>
        <w:t xml:space="preserve"> o </w:t>
      </w:r>
      <w:r>
        <w:rPr>
          <w:rFonts w:ascii="Courier New" w:hAnsi="Courier New"/>
          <w:sz w:val="18"/>
        </w:rPr>
        <w:t>=BUSCARV()</w:t>
      </w:r>
      <w:r>
        <w:t xml:space="preserve"> para convertir texto en número. Por ejemplo, para P6:</w:t>
      </w:r>
      <w:r>
        <w:br/>
        <w:t>=SI(ESNUMERO(ENCONTRAR("máximo órgano de gobierno",F2));3;SI(ESNUMERO(ENCONTRAR("dirección intermedia",F2));2;SI(ESNUMERO(ENCONTRAR("en elaboración",F2));1;0)))</w:t>
      </w:r>
    </w:p>
    <w:p>
      <w:pPr>
        <w:pStyle w:val="Heading3"/>
        <w:keepNext/>
        <w:keepLines/>
      </w:pPr>
      <w:r>
        <w:t>3.2. Columnas de puntuación sugeridas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Pregunta(s)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puntuación 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P7_Punt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puntuación 0‑3 (normalizada)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P8_Punt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P9_Punt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P10_Punt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P11_Punt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P12_Punt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AW‑BA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P13.1‑P13.6_Punt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 cada una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BB‑BF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P22.1‑P22.5_Punt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 cada una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BG‑BI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P27.1‑P27.3_Punt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 cada una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BJ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P14_Punt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P15_Punt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0‑3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BL‑…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(otros ítems que alimentan el IGM)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según regla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P33_Punt (inversión % TI)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convertir categoría a 0‑3 (p.ej. &lt;5 %=0, 5‑9 %=1, 10‑14 %=2, ≥15 %=3)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P34_Punt (existe modelo ROI)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Sí=2, En análisis=1, No=0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P35_Punt (usa IGM formal)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Sí=2, En valoración=1, No=0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P36_Punt (inversión tras incidentes)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Aumentó claramente=2, Aumentó tras sector=1, Estable=0, Reducida=‑1 (ajustar escala)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(continuar según necesiten)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r>
        <w:rPr>
          <w:b/>
        </w:rPr>
        <w:t>Nota</w:t>
      </w:r>
      <w:r>
        <w:t>: Las columnas que no contribuyen al IGM (por ejemplo, datos de perfil) pueden dejarse sin puntuación o asignarles un peso 0 en el cálculo posterior.</w:t>
      </w:r>
    </w:p>
    <w:p>
      <w:pPr>
        <w:pStyle w:val="Heading2"/>
        <w:keepNext/>
        <w:keepLines/>
      </w:pPr>
      <w:r>
        <w:rPr>
          <w:color w:val="0066CC"/>
        </w:rPr>
        <w:t>4. Hoja 3_IGM_Cálculo</w:t>
      </w:r>
    </w:p>
    <w:p>
      <w:pPr>
        <w:pStyle w:val="Heading3"/>
        <w:keepNext/>
        <w:keepLines/>
      </w:pPr>
      <w:r>
        <w:t>4.1. Definición de bloques y preguntas que los forman</w:t>
      </w:r>
    </w:p>
    <w:p>
      <w:r>
        <w:rPr>
          <w:i/>
        </w:rPr>
        <w:t xml:space="preserve">(Los números de columna corresponden a las de la hoja </w:t>
      </w:r>
      <w:r>
        <w:rPr>
          <w:i/>
        </w:rPr>
        <w:t>2_Puntuaciones</w:t>
      </w:r>
      <w:r>
        <w:rPr>
          <w:i/>
        </w:rPr>
        <w:t>; ajuste si su hoja tiene distinto orden.)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(columnas)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B1_Gobernanza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 (P6), AQ (P7), AR (P8), AS (P9), AT (P10)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Estrategia, alineamiento, cumplimiento, revisión, participación del Consejo.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B2_Riesgo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 (P11), AV (P12), AW‑BA (P13.1‑P13.6), BB (P14), BK (P15)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Mapa de riesgos, frecuencia actualización, métricas MTTD/MTTR/MTTP/%phishing/TTPs, cuantificación económica, integración continuidad.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B3_Vectores_Entrada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P16‑P20 (columnas correspondientes según su hoja) – se pueden resumir en una columna Punt_Vectores = promedio de sus puntuaciones.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B4_Detección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BG‑BI (P27.1‑P27.3) + BB‑BF (P22.1‑P22.5) – promedio ponderado (peso 0.6 para TTPs, 0.4 para métricas de respuesta).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B5_Respuesta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(Ya incluida en B4 como parte de la detección; si se prefiere separar, usar P25‑P28).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B6_Cultura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P29‑P32 (columnas de su hoja).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B7_Inversión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BN (P33), BO (P34), BP (P35), BQ (P36).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B8_Colaboración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P37‑P39.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B9_Futuro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P40‑P41.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4.2. Cálculo de sub‑índices bloque</w:t>
      </w:r>
    </w:p>
    <w:p>
      <w:r>
        <w:t xml:space="preserve">Para cada bloque </w:t>
      </w:r>
      <w:r>
        <w:rPr>
          <w:i/>
        </w:rPr>
        <w:t>b</w:t>
      </w:r>
      <w:r>
        <w:t>: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