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(e) Plantilla de Excel para Cálculo de IGM y ROI</w:t>
      </w:r>
    </w:p>
    <w:p>
      <w:r>
        <w:t>La siguiente descripción permite implementar una hoja de cálculo en Excel (o equivalente) para calcular el Índice Global de Madurez (IGM) y el ROI de ciberseguridad a partir de las respuestas de la encuesta.</w:t>
      </w:r>
    </w:p>
    <w:p>
      <w:pPr>
        <w:pStyle w:val="Heading2"/>
        <w:keepNext/>
        <w:keepLines/>
      </w:pPr>
      <w:r>
        <w:rPr>
          <w:color w:val="0066CC"/>
        </w:rPr>
        <w:t>1. Estructura general del libro</w:t>
      </w:r>
    </w:p>
    <w:p>
      <w:r>
        <w:t>Se recomiendan al menos tres hojas:</w:t>
      </w:r>
    </w:p>
    <w:p>
      <w:pPr>
        <w:pStyle w:val="ListNumber"/>
        <w:keepLines w:val="1"/>
        <w:keepNext w:val="1"/>
        <w:widowControl w:val="1"/>
      </w:pPr>
      <w:r>
        <w:t>"Respuestas": registro de respuestas por organización.</w:t>
      </w:r>
    </w:p>
    <w:p>
      <w:pPr>
        <w:pStyle w:val="ListNumber"/>
        <w:keepLines w:val="1"/>
        <w:keepNext w:val="1"/>
        <w:widowControl w:val="1"/>
      </w:pPr>
      <w:r>
        <w:t>"Puntuaciones": transformación de respuestas en puntuaciones numéricas.</w:t>
      </w:r>
    </w:p>
    <w:p>
      <w:pPr>
        <w:pStyle w:val="ListNumber"/>
        <w:keepLines w:val="1"/>
        <w:widowControl w:val="1"/>
      </w:pPr>
      <w:r>
        <w:t>"IGM_ROI": cálculo de índices, agregados y métricas financieras.</w:t>
      </w:r>
    </w:p>
    <w:p>
      <w:pPr>
        <w:pStyle w:val="Heading2"/>
        <w:keepNext/>
        <w:keepLines/>
      </w:pPr>
      <w:r>
        <w:rPr>
          <w:color w:val="0066CC"/>
        </w:rPr>
        <w:t>2. Hoja "Respuestas"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A: ID_Organización</w:t>
      </w:r>
    </w:p>
    <w:p>
      <w:pPr>
        <w:pStyle w:val="ListBullet"/>
        <w:keepLines w:val="1"/>
        <w:keepNext w:val="1"/>
        <w:widowControl w:val="1"/>
      </w:pPr>
      <w:r>
        <w:t>B: Sector</w:t>
      </w:r>
    </w:p>
    <w:p>
      <w:pPr>
        <w:pStyle w:val="ListBullet"/>
        <w:keepLines w:val="1"/>
        <w:keepNext w:val="1"/>
        <w:widowControl w:val="1"/>
      </w:pPr>
      <w:r>
        <w:t>C: Tamaño</w:t>
      </w:r>
    </w:p>
    <w:p>
      <w:pPr>
        <w:pStyle w:val="ListBullet"/>
        <w:keepLines w:val="1"/>
        <w:keepNext w:val="1"/>
        <w:widowControl w:val="1"/>
      </w:pPr>
      <w:r>
        <w:t>D: Ámbito</w:t>
      </w:r>
    </w:p>
    <w:p>
      <w:pPr>
        <w:pStyle w:val="ListBullet"/>
        <w:keepLines w:val="1"/>
        <w:keepNext w:val="1"/>
        <w:widowControl w:val="1"/>
      </w:pPr>
      <w:r>
        <w:t>E: Fecha_respuesta</w:t>
      </w:r>
    </w:p>
    <w:p>
      <w:pPr>
        <w:pStyle w:val="ListBullet"/>
        <w:keepLines w:val="1"/>
        <w:widowControl w:val="1"/>
      </w:pPr>
      <w:r>
        <w:t>F–AZ: Preg_1, Preg_2, ..., Preg_42</w:t>
      </w:r>
    </w:p>
    <w:p>
      <w:r>
        <w:t>Cada fila corresponde a una organización.</w:t>
      </w:r>
    </w:p>
    <w:p>
      <w:pPr>
        <w:pStyle w:val="Heading2"/>
        <w:keepNext/>
        <w:keepLines/>
      </w:pPr>
      <w:r>
        <w:rPr>
          <w:color w:val="0066CC"/>
        </w:rPr>
        <w:t>3. Hoja "Puntuaciones"</w:t>
      </w:r>
    </w:p>
    <w:p>
      <w:pPr>
        <w:pStyle w:val="ListBullet"/>
        <w:keepLines w:val="1"/>
        <w:keepNext w:val="1"/>
        <w:widowControl w:val="1"/>
      </w:pPr>
      <w:r>
        <w:t>Replicar las columnas ID_Organización, Sector, etc.</w:t>
      </w:r>
    </w:p>
    <w:p>
      <w:pPr>
        <w:pStyle w:val="ListBullet"/>
        <w:keepLines w:val="1"/>
        <w:widowControl w:val="1"/>
      </w:pPr>
      <w:r>
        <w:t>Para cada pregunta, definir una columna de puntuación numérica (por ejemplo, P6, P7, ..., P41) según las reglas de mapeo.</w:t>
      </w:r>
    </w:p>
    <w:p>
      <w:pPr>
        <w:pStyle w:val="Heading3"/>
        <w:keepNext/>
        <w:keepLines/>
      </w:pPr>
      <w:r>
        <w:t>3.1. Ejemplos de reglas de puntuación</w:t>
      </w:r>
    </w:p>
    <w:p>
      <w:pPr>
        <w:pStyle w:val="ListBullet"/>
        <w:keepLines w:val="1"/>
        <w:keepNext w:val="1"/>
        <w:widowControl w:val="1"/>
      </w:pPr>
      <w:r>
        <w:t>Pregunta 6 (estrategia formal):</w:t>
      </w:r>
    </w:p>
    <w:p>
      <w:pPr>
        <w:pStyle w:val="ListBullet"/>
        <w:keepLines w:val="1"/>
        <w:keepNext w:val="1"/>
        <w:widowControl w:val="1"/>
      </w:pPr>
      <w:r>
        <w:t>Máximo órgano de gobierno: 3</w:t>
      </w:r>
    </w:p>
    <w:p>
      <w:pPr>
        <w:pStyle w:val="ListBullet"/>
        <w:keepLines w:val="1"/>
        <w:keepNext w:val="1"/>
        <w:widowControl w:val="1"/>
      </w:pPr>
      <w:r>
        <w:t>Dirección intermedia: 2</w:t>
      </w:r>
    </w:p>
    <w:p>
      <w:pPr>
        <w:pStyle w:val="ListBullet"/>
        <w:keepLines w:val="1"/>
        <w:keepNext w:val="1"/>
        <w:widowControl w:val="1"/>
      </w:pPr>
      <w:r>
        <w:t>En elaboración: 1</w:t>
      </w:r>
    </w:p>
    <w:p>
      <w:pPr>
        <w:pStyle w:val="ListBullet"/>
        <w:keepLines w:val="1"/>
        <w:keepNext w:val="1"/>
        <w:widowControl w:val="1"/>
      </w:pPr>
      <w:r>
        <w:br/>
        <w:t>Prácticas dispersas / no existe: 0</w:t>
        <w:br/>
      </w:r>
    </w:p>
    <w:p>
      <w:pPr>
        <w:pStyle w:val="ListBullet"/>
        <w:keepLines w:val="1"/>
        <w:keepNext w:val="1"/>
        <w:widowControl w:val="1"/>
      </w:pPr>
      <w:r>
        <w:br/>
        <w:t>Preguntas 13, 22, 27 (escalas 0–3): la puntuación es directamente el valor seleccionado.</w:t>
        <w:br/>
      </w:r>
    </w:p>
    <w:p>
      <w:pPr>
        <w:pStyle w:val="ListBullet"/>
        <w:keepLines w:val="1"/>
        <w:widowControl w:val="1"/>
      </w:pPr>
      <w:r>
        <w:br/>
        <w:t>Pregunta 15 (integración con continuidad): 3, 2, 1, 0 según grado.</w:t>
        <w:br/>
      </w:r>
    </w:p>
    <w:p>
      <w:r>
        <w:t>Prácticas dispersas / no existe: 0</w:t>
      </w:r>
    </w:p>
    <w:p>
      <w:r>
        <w:t>Preguntas 13, 22, 27 (escalas 0–3): la puntuación es directamente el valor seleccionado.</w:t>
      </w:r>
    </w:p>
    <w:p>
      <w:r>
        <w:t>Pregunta 15 (integración con continuidad): 3, 2, 1, 0 según grado.</w:t>
      </w:r>
    </w:p>
    <w:p>
      <w:r>
        <w:t xml:space="preserve">Implementar estas reglas con funciones </w:t>
      </w:r>
      <w:r>
        <w:rPr>
          <w:b/>
        </w:rPr>
        <w:t>SI()</w:t>
      </w:r>
      <w:r>
        <w:t xml:space="preserve"> o </w:t>
      </w:r>
      <w:r>
        <w:rPr>
          <w:b/>
        </w:rPr>
        <w:t>BUSCARV()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4. Cálculo de subíndices por bloque</w:t>
      </w:r>
    </w:p>
    <w:p>
      <w:r>
        <w:t>En la hoja "IGM_ROI":</w:t>
      </w:r>
    </w:p>
    <w:p>
      <w:r>
        <w:t xml:space="preserve">Para cada bloque </w:t>
      </w:r>
      <w:r>
        <w:rPr>
          <w:i/>
        </w:rPr>
        <w:t>b</w:t>
      </w:r>
      <w:r>
        <w:t>, crear un rango con las puntuaciones de sus preguntas. Por ejemplo:</w:t>
      </w:r>
    </w:p>
    <w:p>
      <w:pPr>
        <w:pStyle w:val="ListBullet"/>
        <w:keepLines w:val="1"/>
        <w:keepNext w:val="1"/>
        <w:widowControl w:val="1"/>
      </w:pPr>
      <w:r>
        <w:t>Bloque Gobernanza (B_GOV): P6, P7, P8, P9, P10.</w:t>
      </w:r>
    </w:p>
    <w:p>
      <w:pPr>
        <w:pStyle w:val="ListBullet"/>
        <w:keepLines w:val="1"/>
        <w:keepNext w:val="1"/>
        <w:widowControl w:val="1"/>
      </w:pPr>
      <w:r>
        <w:t>Bloque Riesgo (B_RISK): P11, P12, P13.1–13.6, P14, P15.</w:t>
      </w:r>
    </w:p>
    <w:p>
      <w:pPr>
        <w:pStyle w:val="ListBullet"/>
        <w:keepLines w:val="1"/>
        <w:widowControl w:val="1"/>
      </w:pPr>
      <w:r>
        <w:t>etc.</w:t>
      </w:r>
    </w:p>
    <w:p>
      <w:r>
        <w:t>Calcular:</w:t>
      </w:r>
    </w:p>
    <w:p>
      <w:r>
        <w:rPr>
          <w:rFonts w:ascii="Courier New" w:hAnsi="Courier New"/>
          <w:sz w:val="18"/>
        </w:rPr>
        <w:t>IGM_GOV = PROMEDIO(P6;P7;P8;P9;P10) / 3</w:t>
      </w:r>
    </w:p>
    <w:p>
      <w:r>
        <w:t>(si todas las preguntas están en escala 0–3; si alguna no lo está, normalizar previamente).</w:t>
      </w:r>
    </w:p>
    <w:p>
      <w:r>
        <w:t>Repetir para cada bloque.</w:t>
      </w:r>
    </w:p>
    <w:p>
      <w:pPr>
        <w:pStyle w:val="Heading2"/>
        <w:keepNext/>
        <w:keepLines/>
      </w:pPr>
      <w:r>
        <w:rPr>
          <w:color w:val="0066CC"/>
        </w:rPr>
        <w:t>5. Cálculo del IGM global</w:t>
      </w:r>
    </w:p>
    <w:p>
      <w:r>
        <w:t>Definir pesos (por defecto, iguales):</w:t>
      </w:r>
    </w:p>
    <w:p>
      <w:pPr>
        <w:pStyle w:val="ListBullet"/>
        <w:keepLines w:val="1"/>
        <w:widowControl w:val="1"/>
      </w:pPr>
      <w:r>
        <w:t>Peso_GOV, Peso_RISK, Peso_VECT, Peso_DET, Peso_RESP, Peso_CULT, Peso_INV, Peso_COLAB, Peso_FUTURO.</w:t>
      </w:r>
    </w:p>
    <w:p>
      <w:r>
        <w:t>Calcular:</w:t>
      </w:r>
    </w:p>
    <w:p>
      <w:r>
        <w:rPr>
          <w:rFonts w:ascii="Courier New" w:hAnsi="Courier New"/>
          <w:sz w:val="18"/>
        </w:rPr>
        <w:t>IGM_global = SUMAPRODUCTO({IGM_GOV;IGM_RISK;IGM_VECT;...}; {Peso_GOV;Peso_RISK;Peso_VECT;...})</w:t>
      </w:r>
    </w:p>
    <w:p>
      <w:r>
        <w:t>Asegurarse de que la suma de pesos es 1.</w:t>
      </w:r>
    </w:p>
    <w:p>
      <w:pPr>
        <w:pStyle w:val="Heading2"/>
        <w:keepNext/>
        <w:keepLines/>
      </w:pPr>
      <w:r>
        <w:rPr>
          <w:color w:val="0066CC"/>
        </w:rPr>
        <w:t>6. Cálculo del ROI de ciberseguridad</w:t>
      </w:r>
    </w:p>
    <w:p>
      <w:r>
        <w:t>En la hoja "IGM_ROI", añadir columnas:</w:t>
      </w:r>
    </w:p>
    <w:p>
      <w:pPr>
        <w:pStyle w:val="ListBullet"/>
        <w:keepLines w:val="1"/>
        <w:keepNext w:val="1"/>
        <w:widowControl w:val="1"/>
      </w:pPr>
      <w:r>
        <w:t>INV (inversión anual en ciberseguridad).</w:t>
      </w:r>
    </w:p>
    <w:p>
      <w:pPr>
        <w:pStyle w:val="ListBullet"/>
        <w:keepLines w:val="1"/>
        <w:keepNext w:val="1"/>
        <w:widowControl w:val="1"/>
      </w:pPr>
      <w:r>
        <w:t>PLA_0 (pérdida esperada anual antes de mejoras).</w:t>
      </w:r>
    </w:p>
    <w:p>
      <w:pPr>
        <w:pStyle w:val="ListBullet"/>
        <w:keepLines w:val="1"/>
        <w:widowControl w:val="1"/>
      </w:pPr>
      <w:r>
        <w:t>PLA_1 (pérdida esperada anual después de mejoras).</w:t>
      </w:r>
    </w:p>
    <w:p>
      <w:r>
        <w:t>Fórmula:</w:t>
      </w:r>
    </w:p>
    <w:p>
      <w:r>
        <w:rPr>
          <w:rFonts w:ascii="Courier New" w:hAnsi="Courier New"/>
          <w:sz w:val="18"/>
        </w:rPr>
        <w:t>ROI_ciber = (PLA_0 - PLA_1 - INV) / INV</w:t>
      </w:r>
    </w:p>
    <w:p>
      <w:r>
        <w:t>Para escenarios, se pueden crear columnas PLA_1_Esc1, PLA_1_Esc2… y calcular ROIs alternativos.</w:t>
      </w:r>
    </w:p>
    <w:p>
      <w:pPr>
        <w:pStyle w:val="Heading2"/>
        <w:keepNext/>
        <w:keepLines/>
      </w:pPr>
      <w:r>
        <w:rPr>
          <w:color w:val="0066CC"/>
        </w:rPr>
        <w:t>7. Visualizaciones sugeridas</w:t>
      </w:r>
    </w:p>
    <w:p>
      <w:pPr>
        <w:pStyle w:val="ListBullet"/>
        <w:keepLines w:val="1"/>
        <w:keepNext w:val="1"/>
        <w:widowControl w:val="1"/>
      </w:pPr>
      <w:r>
        <w:t>Gráfico radar de subíndices de bloque (IGM por dimensión).</w:t>
      </w:r>
    </w:p>
    <w:p>
      <w:pPr>
        <w:pStyle w:val="ListBullet"/>
        <w:keepLines w:val="1"/>
        <w:keepNext w:val="1"/>
        <w:widowControl w:val="1"/>
      </w:pPr>
      <w:r>
        <w:t>Gráfico de dispersión IGM_global vs. número de incidentes.</w:t>
      </w:r>
    </w:p>
    <w:p>
      <w:pPr>
        <w:pStyle w:val="ListBullet"/>
        <w:keepLines w:val="1"/>
        <w:widowControl w:val="1"/>
      </w:pPr>
      <w:r>
        <w:t>Gráfico de barras inversión (% TI) vs. IGM_global.</w:t>
      </w:r>
    </w:p>
    <w:p>
      <w:r>
        <w:t>Estas representaciones facilitan el uso del libro como soporte para reportes ejecutivos.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