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en PowerPoint (Describiendo las Diapositivas)</w:t>
      </w:r>
    </w:p>
    <w:p>
      <w:r>
        <w:t>La siguiente estructura describe una plantilla de presentación ejecutiva para exponer los resultados de la encuesta APT ante alta dirección, comités de riesgo u otros foros.</w:t>
      </w:r>
    </w:p>
    <w:p>
      <w:pPr>
        <w:pStyle w:val="Heading2"/>
        <w:keepNext/>
        <w:keepLines/>
      </w:pPr>
      <w:r>
        <w:rPr>
          <w:color w:val="0066CC"/>
        </w:rPr>
        <w:t>Diapositiva 1. Portada</w:t>
      </w:r>
    </w:p>
    <w:p>
      <w:pPr>
        <w:pStyle w:val="ListBullet"/>
        <w:keepLines w:val="1"/>
        <w:keepNext w:val="1"/>
        <w:widowControl w:val="1"/>
      </w:pPr>
      <w:r>
        <w:t>Título: "Estado de Madurez frente a Amenazas Persistentes Avanzadas (APT)".</w:t>
      </w:r>
    </w:p>
    <w:p>
      <w:pPr>
        <w:pStyle w:val="ListBullet"/>
        <w:keepLines w:val="1"/>
        <w:keepNext w:val="1"/>
        <w:widowControl w:val="1"/>
      </w:pPr>
      <w:r>
        <w:t>Subtítulo: "Resultados de la Encuesta de Autoevaluación".</w:t>
      </w:r>
    </w:p>
    <w:p>
      <w:pPr>
        <w:pStyle w:val="ListBullet"/>
        <w:keepLines w:val="1"/>
        <w:widowControl w:val="1"/>
      </w:pPr>
      <w:r>
        <w:t>Datos: nombre de la organización, fecha, persona responsable.</w:t>
      </w:r>
    </w:p>
    <w:p>
      <w:pPr>
        <w:pStyle w:val="Heading2"/>
        <w:keepNext/>
        <w:keepLines/>
      </w:pPr>
      <w:r>
        <w:rPr>
          <w:color w:val="0066CC"/>
        </w:rPr>
        <w:t>Diapositiva 2. Contexto y objetivos</w:t>
      </w:r>
    </w:p>
    <w:p>
      <w:pPr>
        <w:pStyle w:val="ListBullet"/>
        <w:keepLines w:val="1"/>
        <w:keepNext w:val="1"/>
        <w:widowControl w:val="1"/>
      </w:pPr>
      <w:r>
        <w:t>Breve resumen del propósito de la encuesta.</w:t>
      </w:r>
    </w:p>
    <w:p>
      <w:pPr>
        <w:pStyle w:val="ListBullet"/>
        <w:keepLines w:val="1"/>
        <w:keepNext w:val="1"/>
        <w:widowControl w:val="1"/>
      </w:pPr>
      <w:r>
        <w:t>Ámbito: sectores, tamaño de organizaciones, periodo de recogida de datos.</w:t>
      </w:r>
    </w:p>
    <w:p>
      <w:pPr>
        <w:pStyle w:val="ListBullet"/>
        <w:keepLines w:val="1"/>
        <w:widowControl w:val="1"/>
      </w:pPr>
      <w:r>
        <w:t>Mensaje clave: la encuesta no es un examen, sino una herramienta de decisión.</w:t>
      </w:r>
    </w:p>
    <w:p>
      <w:pPr>
        <w:pStyle w:val="Heading2"/>
        <w:keepNext/>
        <w:keepLines/>
      </w:pPr>
      <w:r>
        <w:rPr>
          <w:color w:val="0066CC"/>
        </w:rPr>
        <w:t>Diapositiva 3. Metodología</w:t>
      </w:r>
    </w:p>
    <w:p>
      <w:pPr>
        <w:pStyle w:val="ListBullet"/>
        <w:keepLines w:val="1"/>
        <w:keepNext w:val="1"/>
        <w:widowControl w:val="1"/>
      </w:pPr>
      <w:r>
        <w:t>Bloques de la encuesta.</w:t>
      </w:r>
    </w:p>
    <w:p>
      <w:pPr>
        <w:pStyle w:val="ListBullet"/>
        <w:keepLines w:val="1"/>
        <w:keepNext w:val="1"/>
        <w:widowControl w:val="1"/>
      </w:pPr>
      <w:r>
        <w:t>Escalas utilizadas (0–3, rangos, etc.).</w:t>
      </w:r>
    </w:p>
    <w:p>
      <w:pPr>
        <w:pStyle w:val="ListBullet"/>
        <w:keepLines w:val="1"/>
        <w:widowControl w:val="1"/>
      </w:pPr>
      <w:r>
        <w:t>Breve referencia al cálculo del IGM.</w:t>
      </w:r>
    </w:p>
    <w:p>
      <w:pPr>
        <w:pStyle w:val="Heading2"/>
        <w:keepNext/>
        <w:keepLines/>
      </w:pPr>
      <w:r>
        <w:rPr>
          <w:color w:val="0066CC"/>
        </w:rPr>
        <w:t>Diapositiva 4. Perfil de las organizaciones participantes</w:t>
      </w:r>
    </w:p>
    <w:p>
      <w:pPr>
        <w:pStyle w:val="ListBullet"/>
        <w:keepLines w:val="1"/>
        <w:keepNext w:val="1"/>
        <w:widowControl w:val="1"/>
      </w:pPr>
      <w:r>
        <w:t>Gráficos de distribución por sector.</w:t>
      </w:r>
    </w:p>
    <w:p>
      <w:pPr>
        <w:pStyle w:val="ListBullet"/>
        <w:keepLines w:val="1"/>
        <w:keepNext w:val="1"/>
        <w:widowControl w:val="1"/>
      </w:pPr>
      <w:r>
        <w:t>Distribución por tamaño.</w:t>
      </w:r>
    </w:p>
    <w:p>
      <w:pPr>
        <w:pStyle w:val="ListBullet"/>
        <w:keepLines w:val="1"/>
        <w:widowControl w:val="1"/>
      </w:pPr>
      <w:r>
        <w:t>Distribución por ámbito geográfico.</w:t>
      </w:r>
    </w:p>
    <w:p>
      <w:pPr>
        <w:pStyle w:val="Heading2"/>
        <w:keepNext/>
        <w:keepLines/>
      </w:pPr>
      <w:r>
        <w:rPr>
          <w:color w:val="0066CC"/>
        </w:rPr>
        <w:t>Diapositiva 5. Índice Global de Madurez (IGM)</w:t>
      </w:r>
    </w:p>
    <w:p>
      <w:pPr>
        <w:pStyle w:val="ListBullet"/>
        <w:keepLines w:val="1"/>
        <w:keepNext w:val="1"/>
        <w:widowControl w:val="1"/>
      </w:pPr>
      <w:r>
        <w:t>Valor medio de IGM_global.</w:t>
      </w:r>
    </w:p>
    <w:p>
      <w:pPr>
        <w:pStyle w:val="ListBullet"/>
        <w:keepLines w:val="1"/>
        <w:keepNext w:val="1"/>
        <w:widowControl w:val="1"/>
      </w:pPr>
      <w:r>
        <w:t>Rango (mínimo, máximo).</w:t>
      </w:r>
    </w:p>
    <w:p>
      <w:pPr>
        <w:pStyle w:val="ListBullet"/>
        <w:keepLines w:val="1"/>
        <w:widowControl w:val="1"/>
      </w:pPr>
      <w:r>
        <w:t>Gráfico de barras o gauge para situar la organización frente a referencia sectorial.</w:t>
      </w:r>
    </w:p>
    <w:p>
      <w:pPr>
        <w:pStyle w:val="Heading2"/>
        <w:keepNext/>
        <w:keepLines/>
      </w:pPr>
      <w:r>
        <w:rPr>
          <w:color w:val="0066CC"/>
        </w:rPr>
        <w:t>Diapositiva 6. Madurez por bloques</w:t>
      </w:r>
    </w:p>
    <w:p>
      <w:pPr>
        <w:pStyle w:val="ListBullet"/>
        <w:keepLines w:val="1"/>
        <w:keepNext w:val="1"/>
        <w:widowControl w:val="1"/>
      </w:pPr>
      <w:r>
        <w:t>Gráfico radar o barra apilada con IGM por dimensión:</w:t>
      </w:r>
    </w:p>
    <w:p>
      <w:pPr>
        <w:pStyle w:val="ListBullet"/>
        <w:keepLines w:val="1"/>
        <w:keepNext w:val="1"/>
        <w:widowControl w:val="1"/>
      </w:pPr>
      <w:r>
        <w:t>Gobernanza.</w:t>
      </w:r>
    </w:p>
    <w:p>
      <w:pPr>
        <w:pStyle w:val="ListBullet"/>
        <w:keepLines w:val="1"/>
        <w:keepNext w:val="1"/>
        <w:widowControl w:val="1"/>
      </w:pPr>
      <w:r>
        <w:t>Riesgo.</w:t>
      </w:r>
    </w:p>
    <w:p>
      <w:pPr>
        <w:pStyle w:val="ListBullet"/>
        <w:keepLines w:val="1"/>
        <w:keepNext w:val="1"/>
        <w:widowControl w:val="1"/>
      </w:pPr>
      <w:r>
        <w:t>Vectores de entrada.</w:t>
      </w:r>
    </w:p>
    <w:p>
      <w:pPr>
        <w:pStyle w:val="ListBullet"/>
        <w:keepLines w:val="1"/>
        <w:keepNext w:val="1"/>
        <w:widowControl w:val="1"/>
      </w:pPr>
      <w:r>
        <w:t>Detección.</w:t>
      </w:r>
    </w:p>
    <w:p>
      <w:pPr>
        <w:pStyle w:val="ListBullet"/>
        <w:keepLines w:val="1"/>
        <w:keepNext w:val="1"/>
        <w:widowControl w:val="1"/>
      </w:pPr>
      <w:r>
        <w:t>Respuesta.</w:t>
      </w:r>
    </w:p>
    <w:p>
      <w:pPr>
        <w:pStyle w:val="ListBullet"/>
        <w:keepLines w:val="1"/>
        <w:keepNext w:val="1"/>
        <w:widowControl w:val="1"/>
      </w:pPr>
      <w:r>
        <w:t>Cultura.</w:t>
      </w:r>
    </w:p>
    <w:p>
      <w:pPr>
        <w:pStyle w:val="ListBullet"/>
        <w:keepLines w:val="1"/>
        <w:keepNext w:val="1"/>
        <w:widowControl w:val="1"/>
      </w:pPr>
      <w:r>
        <w:t>Inversión.</w:t>
      </w:r>
    </w:p>
    <w:p>
      <w:pPr>
        <w:pStyle w:val="ListBullet"/>
        <w:keepLines w:val="1"/>
        <w:widowControl w:val="1"/>
      </w:pPr>
      <w:r>
        <w:t>Colaboración.</w:t>
      </w:r>
    </w:p>
    <w:p>
      <w:pPr>
        <w:pStyle w:val="Heading2"/>
        <w:keepNext/>
        <w:keepLines/>
      </w:pPr>
      <w:r>
        <w:rPr>
          <w:color w:val="0066CC"/>
        </w:rPr>
        <w:t>Diapositiva 7. Vectores de entrada y vulnerabilidades</w:t>
      </w:r>
    </w:p>
    <w:p>
      <w:pPr>
        <w:pStyle w:val="ListBullet"/>
        <w:keepLines w:val="1"/>
        <w:keepNext w:val="1"/>
        <w:widowControl w:val="1"/>
      </w:pPr>
      <w:r>
        <w:t>Porcentaje de organizaciones con simulaciones de phishing.</w:t>
      </w:r>
    </w:p>
    <w:p>
      <w:pPr>
        <w:pStyle w:val="ListBullet"/>
        <w:keepLines w:val="1"/>
        <w:keepNext w:val="1"/>
        <w:widowControl w:val="1"/>
      </w:pPr>
      <w:r>
        <w:t>Porcentaje con objetivos de parcheo ≤ 7/15 días.</w:t>
      </w:r>
    </w:p>
    <w:p>
      <w:pPr>
        <w:pStyle w:val="ListBullet"/>
        <w:keepLines w:val="1"/>
        <w:widowControl w:val="1"/>
      </w:pPr>
      <w:r>
        <w:t>Comentario sobre exposición a cadena de suministro.</w:t>
      </w:r>
    </w:p>
    <w:p>
      <w:pPr>
        <w:pStyle w:val="Heading2"/>
        <w:keepNext/>
        <w:keepLines/>
      </w:pPr>
      <w:r>
        <w:rPr>
          <w:color w:val="0066CC"/>
        </w:rPr>
        <w:t>Diapositiva 8. Detección basada en TTPs (MITRE ATT&amp;CK)</w:t>
      </w:r>
    </w:p>
    <w:p>
      <w:pPr>
        <w:pStyle w:val="ListBullet"/>
        <w:keepLines w:val="1"/>
        <w:keepNext w:val="1"/>
        <w:widowControl w:val="1"/>
      </w:pPr>
      <w:r>
        <w:t>Cobertura media (0–3) de técnicas clave.</w:t>
      </w:r>
    </w:p>
    <w:p>
      <w:pPr>
        <w:pStyle w:val="ListBullet"/>
        <w:keepLines w:val="1"/>
        <w:keepNext w:val="1"/>
        <w:widowControl w:val="1"/>
      </w:pPr>
      <w:r>
        <w:t>Porcentaje de organizaciones que usan ATT&amp;CK de forma sistemática.</w:t>
      </w:r>
    </w:p>
    <w:p>
      <w:pPr>
        <w:pStyle w:val="ListBullet"/>
        <w:keepLines w:val="1"/>
        <w:widowControl w:val="1"/>
      </w:pPr>
      <w:r>
        <w:t>Breve reflexión sobre brechas de cobertura.</w:t>
      </w:r>
    </w:p>
    <w:p>
      <w:pPr>
        <w:pStyle w:val="Heading2"/>
        <w:keepNext/>
        <w:keepLines/>
      </w:pPr>
      <w:r>
        <w:rPr>
          <w:color w:val="0066CC"/>
        </w:rPr>
        <w:t>Diapositiva 9. Respuesta a incidentes</w:t>
      </w:r>
    </w:p>
    <w:p>
      <w:pPr>
        <w:pStyle w:val="ListBullet"/>
        <w:keepLines w:val="1"/>
        <w:keepNext w:val="1"/>
        <w:widowControl w:val="1"/>
      </w:pPr>
      <w:r>
        <w:t>Porcentaje de organizaciones con Plan de Respuesta formal.</w:t>
      </w:r>
    </w:p>
    <w:p>
      <w:pPr>
        <w:pStyle w:val="ListBullet"/>
        <w:keepLines w:val="1"/>
        <w:keepNext w:val="1"/>
        <w:widowControl w:val="1"/>
      </w:pPr>
      <w:r>
        <w:t>Frecuencia de simulacros (table‑top, red team, etc.).</w:t>
      </w:r>
    </w:p>
    <w:p>
      <w:pPr>
        <w:pStyle w:val="ListBullet"/>
        <w:keepLines w:val="1"/>
        <w:widowControl w:val="1"/>
      </w:pPr>
      <w:r>
        <w:t>Métricas MTTR declaradas (si se dispone).</w:t>
      </w:r>
    </w:p>
    <w:p>
      <w:pPr>
        <w:pStyle w:val="Heading2"/>
        <w:keepNext/>
        <w:keepLines/>
      </w:pPr>
      <w:r>
        <w:rPr>
          <w:color w:val="0066CC"/>
        </w:rPr>
        <w:t>Diapositiva 10. Cultura y reporte</w:t>
      </w:r>
    </w:p>
    <w:p>
      <w:pPr>
        <w:pStyle w:val="ListBullet"/>
        <w:keepLines w:val="1"/>
        <w:keepNext w:val="1"/>
        <w:widowControl w:val="1"/>
      </w:pPr>
      <w:r>
        <w:t>Porcentaje con formación obligatoria anual.</w:t>
      </w:r>
    </w:p>
    <w:p>
      <w:pPr>
        <w:pStyle w:val="ListBullet"/>
        <w:keepLines w:val="1"/>
        <w:keepNext w:val="1"/>
        <w:widowControl w:val="1"/>
      </w:pPr>
      <w:r>
        <w:t>Número de reportes de phishing por cada 1 000 empleados.</w:t>
      </w:r>
    </w:p>
    <w:p>
      <w:pPr>
        <w:pStyle w:val="ListBullet"/>
        <w:keepLines w:val="1"/>
        <w:widowControl w:val="1"/>
      </w:pPr>
      <w:r>
        <w:t>Nivel percibido de prioridad estratégica de la ciberseguridad.</w:t>
      </w:r>
    </w:p>
    <w:p>
      <w:pPr>
        <w:pStyle w:val="Heading2"/>
        <w:keepNext/>
        <w:keepLines/>
      </w:pPr>
      <w:r>
        <w:rPr>
          <w:color w:val="0066CC"/>
        </w:rPr>
        <w:t>Diapositiva 11. Inversión y ROI</w:t>
      </w:r>
    </w:p>
    <w:p>
      <w:pPr>
        <w:pStyle w:val="ListBullet"/>
        <w:keepLines w:val="1"/>
        <w:keepNext w:val="1"/>
        <w:widowControl w:val="1"/>
      </w:pPr>
      <w:r>
        <w:t>Rango de inversión (% de TI) por sector.</w:t>
      </w:r>
    </w:p>
    <w:p>
      <w:pPr>
        <w:pStyle w:val="ListBullet"/>
        <w:keepLines w:val="1"/>
        <w:keepNext w:val="1"/>
        <w:widowControl w:val="1"/>
      </w:pPr>
      <w:r>
        <w:t>Relación entre IGM y volumen de inversión.</w:t>
      </w:r>
    </w:p>
    <w:p>
      <w:pPr>
        <w:pStyle w:val="ListBullet"/>
        <w:keepLines w:val="1"/>
        <w:widowControl w:val="1"/>
      </w:pPr>
      <w:r>
        <w:t>Comentario sobre la existencia (o ausencia) de modelos de ROI.</w:t>
      </w:r>
    </w:p>
    <w:p>
      <w:pPr>
        <w:pStyle w:val="Heading2"/>
        <w:keepNext/>
        <w:keepLines/>
      </w:pPr>
      <w:r>
        <w:rPr>
          <w:color w:val="0066CC"/>
        </w:rPr>
        <w:t>Diapositiva 12. Priorización de iniciativas</w:t>
      </w:r>
    </w:p>
    <w:p>
      <w:pPr>
        <w:pStyle w:val="ListBullet"/>
        <w:keepLines w:val="1"/>
        <w:keepNext w:val="1"/>
        <w:widowControl w:val="1"/>
      </w:pPr>
      <w:r>
        <w:t>Top 3 áreas de mejora detectadas.</w:t>
      </w:r>
    </w:p>
    <w:p>
      <w:pPr>
        <w:pStyle w:val="ListBullet"/>
        <w:keepLines w:val="1"/>
        <w:widowControl w:val="1"/>
      </w:pPr>
      <w:r>
        <w:t>Recomendaciones de alto nivel (sin entrar en detalle técnico excesivo).</w:t>
      </w:r>
    </w:p>
    <w:p>
      <w:pPr>
        <w:pStyle w:val="Heading2"/>
        <w:keepNext/>
        <w:keepLines/>
      </w:pPr>
      <w:r>
        <w:rPr>
          <w:color w:val="0066CC"/>
        </w:rPr>
        <w:t>Diapositiva 13. Roadmap propuesto (12–24 meses)</w:t>
      </w:r>
    </w:p>
    <w:p>
      <w:pPr>
        <w:pStyle w:val="ListBullet"/>
        <w:keepLines w:val="1"/>
        <w:keepNext w:val="1"/>
        <w:widowControl w:val="1"/>
      </w:pPr>
      <w:r>
        <w:t>Hitos clave en gobernanza, detección, respuesta, cultura e inversión.</w:t>
      </w:r>
    </w:p>
    <w:p>
      <w:pPr>
        <w:pStyle w:val="ListBullet"/>
        <w:keepLines w:val="1"/>
        <w:widowControl w:val="1"/>
      </w:pPr>
      <w:r>
        <w:t>Visualización tipo línea de tiempo o Gantt simplificado.</w:t>
      </w:r>
    </w:p>
    <w:p>
      <w:pPr>
        <w:pStyle w:val="Heading2"/>
        <w:keepNext/>
        <w:keepLines/>
      </w:pPr>
      <w:r>
        <w:rPr>
          <w:color w:val="0066CC"/>
        </w:rPr>
        <w:t>Diapositiva 14. Conclusiones y próximos pasos</w:t>
      </w:r>
    </w:p>
    <w:p>
      <w:pPr>
        <w:pStyle w:val="ListBullet"/>
        <w:keepLines w:val="1"/>
        <w:keepNext w:val="1"/>
        <w:widowControl w:val="1"/>
      </w:pPr>
      <w:r>
        <w:t>Mensajes clave.</w:t>
      </w:r>
    </w:p>
    <w:p>
      <w:pPr>
        <w:pStyle w:val="ListBullet"/>
        <w:keepLines w:val="1"/>
        <w:keepNext w:val="1"/>
        <w:widowControl w:val="1"/>
      </w:pPr>
      <w:r>
        <w:t>Propuesta de periodicidad de la encuesta (anual, bienal).</w:t>
      </w:r>
    </w:p>
    <w:p>
      <w:pPr>
        <w:pStyle w:val="ListBullet"/>
        <w:keepLines w:val="1"/>
        <w:widowControl w:val="1"/>
      </w:pPr>
      <w:r>
        <w:t>Próximos ejercicios / proyectos (evaluación de brechas, pruebas de intrusión, etc.).</w:t>
      </w:r>
    </w:p>
    <w:p>
      <w:pPr>
        <w:pStyle w:val="Heading2"/>
        <w:keepNext/>
        <w:keepLines/>
      </w:pPr>
      <w:r>
        <w:rPr>
          <w:color w:val="0066CC"/>
        </w:rPr>
        <w:t>Diapositiva 15. Preguntas y discusión</w:t>
      </w:r>
    </w:p>
    <w:p>
      <w:pPr>
        <w:pStyle w:val="ListBullet"/>
        <w:keepLines w:val="1"/>
        <w:widowControl w:val="1"/>
      </w:pPr>
      <w:r>
        <w:t>Espacio reservado para comentarios y debate.</w:t>
      </w:r>
    </w:p>
    <w:p>
      <w:r>
        <w:t>Esta plantilla puede implementarse fácilmente en PowerPoint, Keynote o herramientas equivalentes, reutilizando gráficos generados con la hoja de cálculo del IGM y ROI.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