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(b) Guía metodológica detallada de la encuesta MITRE D3FEND</w:t>
      </w:r>
    </w:p>
    <w:p>
      <w:pPr>
        <w:pStyle w:val="Heading2"/>
        <w:keepNext/>
        <w:keepLines/>
      </w:pPr>
      <w:r>
        <w:rPr>
          <w:color w:val="0066CC"/>
        </w:rPr>
        <w:t>1. Propósito de la encuesta</w:t>
      </w:r>
    </w:p>
    <w:p>
      <w:r>
        <w:t>La encuesta tiene como objetivo principal medir el grado de adopción, madurez y efectividad del enfoque de defensa informada por amenazas basado en MITRE ATT&amp;CK y MITRE D3FEND, incluyendo el uso de D3FEND CAD y la incorporación de métricas operativas y de negocio.[web:1][web:5][web:19]</w:t>
      </w:r>
    </w:p>
    <w:p>
      <w:r>
        <w:t>Se dirige a organizaciones que operan servicios esenciales o importantes bajo el paraguas regulatorio europeo (NIS2) y nacional, así como a entidades que, aun sin obligación directa, han decidido tomarse la seguridad en serio por convicción, trauma o ambas cosas a la vez.[web:25][web:26][web:27]</w:t>
      </w:r>
    </w:p>
    <w:p>
      <w:pPr>
        <w:pStyle w:val="Heading2"/>
        <w:keepNext/>
        <w:keepLines/>
      </w:pPr>
      <w:r>
        <w:rPr>
          <w:color w:val="0066CC"/>
        </w:rPr>
        <w:t>2. Enfoque conceptual</w:t>
      </w:r>
    </w:p>
    <w:p>
      <w:r>
        <w:t>La encuesta se apoya en tres pilares conceptuales:</w:t>
      </w:r>
    </w:p>
    <w:p>
      <w:pPr>
        <w:pStyle w:val="ListNumber"/>
        <w:keepLines w:val="1"/>
        <w:keepNext w:val="1"/>
        <w:widowControl w:val="1"/>
      </w:pPr>
      <w:r>
        <w:t>Ontología de contramedidas (MITRE D3FEND): entendida como un vocabulario estructurado de técnicas defensivas, artefactos, sensores, vulnerabilidades y relaciones, que permite razonar sobre coberturas, lagunas y profundidad de defensa.[web:1][web:2]</w:t>
      </w:r>
    </w:p>
    <w:p>
      <w:pPr>
        <w:pStyle w:val="ListNumber"/>
        <w:keepLines w:val="1"/>
        <w:keepNext w:val="1"/>
        <w:widowControl w:val="1"/>
      </w:pPr>
      <w:r>
        <w:t>Lenguaje común de amenazas (MITRE ATT&amp;CK): utilizado para describir técnicas y tácticas de adversarios, que sirve de referencia para definir catálogos de amenazas prioritarias.[web:3][web:8]</w:t>
      </w:r>
    </w:p>
    <w:p>
      <w:pPr>
        <w:pStyle w:val="ListNumber"/>
        <w:keepLines w:val="1"/>
        <w:widowControl w:val="1"/>
      </w:pPr>
      <w:r>
        <w:t>Métricas operativas y de negocio: derivadas de la práctica profesional (latencia de detección, eficacia de mitigaciones, cobertura de telemetría, etc.) y conectadas con indicadores de riesgo y retorno de inversión.[web:5][web:18][web:21]</w:t>
      </w:r>
    </w:p>
    <w:p>
      <w:r>
        <w:t>La encuesta explora cómo estos tres elementos se articulan en la práctica de las organizaciones.</w:t>
      </w:r>
    </w:p>
    <w:p>
      <w:pPr>
        <w:pStyle w:val="Heading2"/>
        <w:keepNext/>
        <w:keepLines/>
      </w:pPr>
      <w:r>
        <w:rPr>
          <w:color w:val="0066CC"/>
        </w:rPr>
        <w:t>3. Estructura de la encuesta</w:t>
      </w:r>
    </w:p>
    <w:p>
      <w:r>
        <w:t>La encuesta está organizada en bloques temáticos que siguen una progresión lógica:</w:t>
      </w:r>
    </w:p>
    <w:p>
      <w:pPr>
        <w:pStyle w:val="ListBullet"/>
        <w:keepLines w:val="1"/>
        <w:keepNext w:val="1"/>
        <w:widowControl w:val="1"/>
      </w:pPr>
      <w:r>
        <w:t>Datos generales de la organización y del respondente.</w:t>
      </w:r>
    </w:p>
    <w:p>
      <w:pPr>
        <w:pStyle w:val="ListBullet"/>
        <w:keepLines w:val="1"/>
        <w:keepNext w:val="1"/>
        <w:widowControl w:val="1"/>
      </w:pPr>
      <w:r>
        <w:t>Conocimiento y adopción de MITRE D3FEND y ATT&amp;CK.</w:t>
      </w:r>
    </w:p>
    <w:p>
      <w:pPr>
        <w:pStyle w:val="ListBullet"/>
        <w:keepLines w:val="1"/>
        <w:keepNext w:val="1"/>
        <w:widowControl w:val="1"/>
      </w:pPr>
      <w:r>
        <w:t>Uso de D3FEND CAD y modelado de grafos de contramedidas.[web:19][web:22]</w:t>
      </w:r>
    </w:p>
    <w:p>
      <w:pPr>
        <w:pStyle w:val="ListBullet"/>
        <w:keepLines w:val="1"/>
        <w:keepNext w:val="1"/>
        <w:widowControl w:val="1"/>
      </w:pPr>
      <w:r>
        <w:t>Indicadores de cobertura ATT&amp;CK–D3FEND.</w:t>
      </w:r>
    </w:p>
    <w:p>
      <w:pPr>
        <w:pStyle w:val="ListBullet"/>
        <w:keepLines w:val="1"/>
        <w:keepNext w:val="1"/>
        <w:widowControl w:val="1"/>
      </w:pPr>
      <w:r>
        <w:t>Métricas operativas (latencia, eficacia, telemetría).</w:t>
      </w:r>
    </w:p>
    <w:p>
      <w:pPr>
        <w:pStyle w:val="ListBullet"/>
        <w:keepLines w:val="1"/>
        <w:keepNext w:val="1"/>
        <w:widowControl w:val="1"/>
      </w:pPr>
      <w:r>
        <w:t>Entornos OT / ICS y extensión D3FEND para OT.[web:5]</w:t>
      </w:r>
    </w:p>
    <w:p>
      <w:pPr>
        <w:pStyle w:val="ListBullet"/>
        <w:keepLines w:val="1"/>
        <w:keepNext w:val="1"/>
        <w:widowControl w:val="1"/>
      </w:pPr>
      <w:r>
        <w:t>Integración con el cumplimiento normativo (NIS2, legislación nacional, marcos de control).</w:t>
      </w:r>
    </w:p>
    <w:p>
      <w:pPr>
        <w:pStyle w:val="ListBullet"/>
        <w:keepLines w:val="1"/>
        <w:keepNext w:val="1"/>
        <w:widowControl w:val="1"/>
      </w:pPr>
      <w:r>
        <w:t>Métricas de negocio, indicadores de madurez global (IGM) y ROI.</w:t>
      </w:r>
    </w:p>
    <w:p>
      <w:pPr>
        <w:pStyle w:val="ListBullet"/>
        <w:keepLines w:val="1"/>
        <w:keepNext w:val="1"/>
        <w:widowControl w:val="1"/>
      </w:pPr>
      <w:r>
        <w:t>Gobierno, cultura y talento.</w:t>
      </w:r>
    </w:p>
    <w:p>
      <w:pPr>
        <w:pStyle w:val="ListBullet"/>
        <w:keepLines w:val="1"/>
        <w:widowControl w:val="1"/>
      </w:pPr>
      <w:r>
        <w:t>Perspectiva y próximos pasos.</w:t>
      </w:r>
    </w:p>
    <w:p>
      <w:r>
        <w:t>Esta estructura permite analizar tanto el nivel de adopción técnica como el grado de institucionalización en la gobernanza y el negocio.</w:t>
      </w:r>
    </w:p>
    <w:p>
      <w:pPr>
        <w:pStyle w:val="Heading2"/>
        <w:keepNext/>
        <w:keepLines/>
      </w:pPr>
      <w:r>
        <w:rPr>
          <w:color w:val="0066CC"/>
        </w:rPr>
        <w:t>4. Población objetivo y segmentación</w:t>
      </w:r>
    </w:p>
    <w:p>
      <w:r>
        <w:t>La población objetivo incluye:</w:t>
      </w:r>
    </w:p>
    <w:p>
      <w:pPr>
        <w:pStyle w:val="ListBullet"/>
        <w:keepLines w:val="1"/>
        <w:keepNext w:val="1"/>
        <w:widowControl w:val="1"/>
      </w:pPr>
      <w:r>
        <w:t>Operadores de servicios esenciales y entidades importantes según NIS2 y su transposición nacional.[web:25][web:26][web:27]</w:t>
      </w:r>
    </w:p>
    <w:p>
      <w:pPr>
        <w:pStyle w:val="ListBullet"/>
        <w:keepLines w:val="1"/>
        <w:widowControl w:val="1"/>
      </w:pPr>
      <w:r>
        <w:t>Organizaciones públicas y privadas que, aun fuera de NIS2, tienen una exposición significativa a la amenaza (por tamaño, criticidad o interdependencias).</w:t>
      </w:r>
    </w:p>
    <w:p>
      <w:r>
        <w:t>Para el análisis de resultados se recomienda segmentar al menos por:</w:t>
      </w:r>
    </w:p>
    <w:p>
      <w:pPr>
        <w:pStyle w:val="ListBullet"/>
        <w:keepLines w:val="1"/>
        <w:keepNext w:val="1"/>
        <w:widowControl w:val="1"/>
      </w:pPr>
      <w:r>
        <w:t>Sector (energía, salud, financiero, etc.).</w:t>
      </w:r>
    </w:p>
    <w:p>
      <w:pPr>
        <w:pStyle w:val="ListBullet"/>
        <w:keepLines w:val="1"/>
        <w:keepNext w:val="1"/>
        <w:widowControl w:val="1"/>
      </w:pPr>
      <w:r>
        <w:t>Tamaño de la organización.</w:t>
      </w:r>
    </w:p>
    <w:p>
      <w:pPr>
        <w:pStyle w:val="ListBullet"/>
        <w:keepLines w:val="1"/>
        <w:keepNext w:val="1"/>
        <w:widowControl w:val="1"/>
      </w:pPr>
      <w:r>
        <w:t>Ámbito geográfico de operación.</w:t>
      </w:r>
    </w:p>
    <w:p>
      <w:pPr>
        <w:pStyle w:val="ListBullet"/>
        <w:keepLines w:val="1"/>
        <w:widowControl w:val="1"/>
      </w:pPr>
      <w:r>
        <w:t>Grado de exposición OT / ICS.</w:t>
      </w:r>
    </w:p>
    <w:p>
      <w:pPr>
        <w:pStyle w:val="Heading2"/>
        <w:keepNext/>
        <w:keepLines/>
      </w:pPr>
      <w:r>
        <w:rPr>
          <w:color w:val="0066CC"/>
        </w:rPr>
        <w:t>5. Escalas de respuesta y tratamiento de datos</w:t>
      </w:r>
    </w:p>
    <w:p>
      <w:r>
        <w:t>La encuesta combina preguntas de elección única, múltiple y de respuesta abierta.</w:t>
      </w:r>
    </w:p>
    <w:p>
      <w:r>
        <w:t>Las escalas ordinales (por ejemplo, niveles de cobertura, frecuencia, madurez) se utilizarán para construir índices compuestos como el Índice Global de Madurez (IGM), descrito en la plantilla de Excel.[web:18][web:21]</w:t>
      </w:r>
    </w:p>
    <w:p>
      <w:r>
        <w:t>Se recomienda codificar las respuestas de forma numérica para facilitar el análisis estadístico y la comparación entre organizaciones y sectores. Por ejemplo:</w:t>
      </w:r>
    </w:p>
    <w:p>
      <w:pPr>
        <w:pStyle w:val="ListBullet"/>
        <w:keepLines w:val="1"/>
        <w:keepNext w:val="1"/>
        <w:widowControl w:val="1"/>
      </w:pPr>
      <w:r>
        <w:t>Escala de conocimiento/adopción (0–4).</w:t>
      </w:r>
    </w:p>
    <w:p>
      <w:pPr>
        <w:pStyle w:val="ListBullet"/>
        <w:keepLines w:val="1"/>
        <w:keepNext w:val="1"/>
        <w:widowControl w:val="1"/>
      </w:pPr>
      <w:r>
        <w:t>Escala de cobertura (0–4).</w:t>
      </w:r>
    </w:p>
    <w:p>
      <w:pPr>
        <w:pStyle w:val="ListBullet"/>
        <w:keepLines w:val="1"/>
        <w:widowControl w:val="1"/>
      </w:pPr>
      <w:r>
        <w:t>Escala de madurez de métricas (0–3).</w:t>
      </w:r>
    </w:p>
    <w:p>
      <w:pPr>
        <w:pStyle w:val="Heading2"/>
        <w:keepNext/>
        <w:keepLines/>
      </w:pPr>
      <w:r>
        <w:rPr>
          <w:color w:val="0066CC"/>
        </w:rPr>
        <w:t>6. Indicadores derivados</w:t>
      </w:r>
    </w:p>
    <w:p>
      <w:r>
        <w:t>A partir de las respuestas se pueden derivar, entre otros, los siguientes indicadores:</w:t>
      </w:r>
    </w:p>
    <w:p>
      <w:pPr>
        <w:pStyle w:val="ListBullet"/>
        <w:keepLines w:val="1"/>
        <w:keepNext w:val="1"/>
        <w:widowControl w:val="1"/>
      </w:pPr>
      <w:r>
        <w:t>Porcentaje de organizaciones que utilizan D3FEND explícitamente para describir controles.[web:1][web:14]</w:t>
      </w:r>
    </w:p>
    <w:p>
      <w:pPr>
        <w:pStyle w:val="ListBullet"/>
        <w:keepLines w:val="1"/>
        <w:keepNext w:val="1"/>
        <w:widowControl w:val="1"/>
      </w:pPr>
      <w:r>
        <w:t>Nivel medio de cobertura de técnicas ATT&amp;CK críticas.[web:3][web:8]</w:t>
      </w:r>
    </w:p>
    <w:p>
      <w:pPr>
        <w:pStyle w:val="ListBullet"/>
        <w:keepLines w:val="1"/>
        <w:keepNext w:val="1"/>
        <w:widowControl w:val="1"/>
      </w:pPr>
      <w:r>
        <w:t>Proporción de organizaciones que miden MTTD y MTTR de forma sistemática.[web:18][web:21]</w:t>
      </w:r>
    </w:p>
    <w:p>
      <w:pPr>
        <w:pStyle w:val="ListBullet"/>
        <w:keepLines w:val="1"/>
        <w:keepNext w:val="1"/>
        <w:widowControl w:val="1"/>
      </w:pPr>
      <w:r>
        <w:t>Nivel de adopción de métricas de telemetría y calidad de detección.[web:5][web:19]</w:t>
      </w:r>
    </w:p>
    <w:p>
      <w:pPr>
        <w:pStyle w:val="ListBullet"/>
        <w:keepLines w:val="1"/>
        <w:keepNext w:val="1"/>
        <w:widowControl w:val="1"/>
      </w:pPr>
      <w:r>
        <w:t>Grado de integración con el cumplimiento normativo (existencia de mapeos formales).[web:5][web:25][web:26]</w:t>
      </w:r>
    </w:p>
    <w:p>
      <w:pPr>
        <w:pStyle w:val="ListBullet"/>
        <w:keepLines w:val="1"/>
        <w:widowControl w:val="1"/>
      </w:pPr>
      <w:r>
        <w:t>Grado de utilización de métricas para justificar inversiones (ROI) y medir el IGM.[web:5][web:18][web:21]</w:t>
      </w:r>
    </w:p>
    <w:p>
      <w:r>
        <w:t>Estos indicadores permiten comparar sectores, tamaños de organización y países, así como seguir la evolución temporal.</w:t>
      </w:r>
    </w:p>
    <w:p>
      <w:pPr>
        <w:pStyle w:val="Heading2"/>
        <w:keepNext/>
        <w:keepLines/>
      </w:pPr>
      <w:r>
        <w:rPr>
          <w:color w:val="0066CC"/>
        </w:rPr>
        <w:t>7. Consideraciones éticas y de confidencialidad</w:t>
      </w:r>
    </w:p>
    <w:p>
      <w:r>
        <w:t>Dado que la encuesta puede revelar información sensible sobre capacidades defensivas, se recomienda:</w:t>
      </w:r>
    </w:p>
    <w:p>
      <w:pPr>
        <w:pStyle w:val="ListBullet"/>
        <w:keepLines w:val="1"/>
        <w:keepNext w:val="1"/>
        <w:widowControl w:val="1"/>
      </w:pPr>
      <w:r>
        <w:t>Anonimizar los resultados antes de cualquier análisis agregado.</w:t>
      </w:r>
    </w:p>
    <w:p>
      <w:pPr>
        <w:pStyle w:val="ListBullet"/>
        <w:keepLines w:val="1"/>
        <w:keepNext w:val="1"/>
        <w:widowControl w:val="1"/>
      </w:pPr>
      <w:r>
        <w:t>Evitar la identificación directa de organizaciones en reportes públicos sin su consentimiento explícito.</w:t>
      </w:r>
    </w:p>
    <w:p>
      <w:pPr>
        <w:pStyle w:val="ListBullet"/>
        <w:keepLines w:val="1"/>
        <w:widowControl w:val="1"/>
      </w:pPr>
      <w:r>
        <w:t>Comunicar claramente el uso previsto de los datos y las medidas de protección aplicadas.</w:t>
      </w:r>
    </w:p>
    <w:p>
      <w:pPr>
        <w:pStyle w:val="Heading2"/>
        <w:keepNext/>
        <w:keepLines/>
      </w:pPr>
      <w:r>
        <w:rPr>
          <w:color w:val="0066CC"/>
        </w:rPr>
        <w:t>8. Limitaciones</w:t>
      </w:r>
    </w:p>
    <w:p>
      <w:r>
        <w:t>La encuesta describe percepción y autoevaluación; por tanto, está sujeta a sesgos de optimismo, de deseabilidad social y de memoria selectiva, especialmente después de incidentes traumáticos.</w:t>
      </w:r>
    </w:p>
    <w:p>
      <w:r>
        <w:t>No sustituye a auditorías técnicas, ejercicios de red teaming o análisis forense, pero sí ofrece un mapa de cómo las organizaciones se ven a sí mismas frente a un estándar exigente.[web:5][web:14]</w:t>
      </w:r>
    </w:p>
    <w:p>
      <w:pPr>
        <w:pStyle w:val="Heading2"/>
        <w:keepNext/>
        <w:keepLines/>
      </w:pPr>
      <w:r>
        <w:rPr>
          <w:color w:val="0066CC"/>
        </w:rPr>
        <w:t>9. Uso recomendado</w:t>
      </w:r>
    </w:p>
    <w:p>
      <w:r>
        <w:t>Se sugiere utilizar la encuesta:</w:t>
      </w:r>
    </w:p>
    <w:p>
      <w:pPr>
        <w:pStyle w:val="ListBullet"/>
        <w:keepLines w:val="1"/>
        <w:keepNext w:val="1"/>
        <w:widowControl w:val="1"/>
      </w:pPr>
      <w:r>
        <w:t>Como diagnóstico inicial para programas sectoriales o nacionales de mejora de capacidades defensivas.</w:t>
      </w:r>
    </w:p>
    <w:p>
      <w:pPr>
        <w:pStyle w:val="ListBullet"/>
        <w:keepLines w:val="1"/>
        <w:keepNext w:val="1"/>
        <w:widowControl w:val="1"/>
      </w:pPr>
      <w:r>
        <w:t>Como instrumento periódico (por ejemplo, anual) para medir progreso y orientar políticas públicas.</w:t>
      </w:r>
    </w:p>
    <w:p>
      <w:pPr>
        <w:pStyle w:val="ListBullet"/>
        <w:keepLines w:val="1"/>
        <w:widowControl w:val="1"/>
      </w:pPr>
      <w:r>
        <w:t>Como base para talleres con organizaciones, contrastando la autoevaluación con ejemplos prácticos de modelado D3FEND CAD.[web:19][web:29]</w:t>
      </w:r>
    </w:p>
    <w:p>
      <w:r>
        <w:t>En manos de un regulador o de un consorcio sectorial, la encuesta puede convertirse en un mecanismo suave pero insistente para mover la conversación de "cumplimos" a "sabemos exactamente qué ataques podemos resistir y cuáles no".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