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Matriz de Evaluación PRAGMATIC Completa</w:t>
      </w:r>
    </w:p>
    <w:p>
      <w:r>
        <w:t>La tabla siguiente resume la evaluación PRAGMATIC (escala 1–5) para las métricas clave definidas en el marco GQM. Las puntuaciones son orientativas y deben ajustarse a cada contexto nacional o sectorial.</w:t>
      </w:r>
    </w:p>
    <w:p>
      <w:pPr>
        <w:pStyle w:val="Heading2"/>
        <w:keepNext/>
        <w:keepLines/>
      </w:pPr>
      <w:r>
        <w:rPr>
          <w:color w:val="0066CC"/>
        </w:rPr>
        <w:t>Leyenda de criterios</w:t>
      </w:r>
    </w:p>
    <w:p>
      <w:pPr>
        <w:pStyle w:val="ListBullet"/>
        <w:keepLines w:val="1"/>
        <w:keepNext w:val="1"/>
        <w:widowControl w:val="1"/>
      </w:pPr>
      <w:r>
        <w:t>PRED: Predictivo</w:t>
      </w:r>
    </w:p>
    <w:p>
      <w:pPr>
        <w:pStyle w:val="ListBullet"/>
        <w:keepLines w:val="1"/>
        <w:keepNext w:val="1"/>
        <w:widowControl w:val="1"/>
      </w:pPr>
      <w:r>
        <w:t>REL: Relevante</w:t>
      </w:r>
    </w:p>
    <w:p>
      <w:pPr>
        <w:pStyle w:val="ListBullet"/>
        <w:keepLines w:val="1"/>
        <w:keepNext w:val="1"/>
        <w:widowControl w:val="1"/>
      </w:pPr>
      <w:r>
        <w:t>ACC: Accionable</w:t>
      </w:r>
    </w:p>
    <w:p>
      <w:pPr>
        <w:pStyle w:val="ListBullet"/>
        <w:keepLines w:val="1"/>
        <w:keepNext w:val="1"/>
        <w:widowControl w:val="1"/>
      </w:pPr>
      <w:r>
        <w:t>GEN: Genuino</w:t>
      </w:r>
    </w:p>
    <w:p>
      <w:pPr>
        <w:pStyle w:val="ListBullet"/>
        <w:keepLines w:val="1"/>
        <w:keepNext w:val="1"/>
        <w:widowControl w:val="1"/>
      </w:pPr>
      <w:r>
        <w:t>SIG: Significativo</w:t>
      </w:r>
    </w:p>
    <w:p>
      <w:pPr>
        <w:pStyle w:val="ListBullet"/>
        <w:keepLines w:val="1"/>
        <w:keepNext w:val="1"/>
        <w:widowControl w:val="1"/>
      </w:pPr>
      <w:r>
        <w:t>PRE: Preciso</w:t>
      </w:r>
    </w:p>
    <w:p>
      <w:pPr>
        <w:pStyle w:val="ListBullet"/>
        <w:keepLines w:val="1"/>
        <w:keepNext w:val="1"/>
        <w:widowControl w:val="1"/>
      </w:pPr>
      <w:r>
        <w:t>OPO: Oportuno</w:t>
      </w:r>
    </w:p>
    <w:p>
      <w:pPr>
        <w:pStyle w:val="ListBullet"/>
        <w:keepLines w:val="1"/>
        <w:keepNext w:val="1"/>
        <w:widowControl w:val="1"/>
      </w:pPr>
      <w:r>
        <w:t>IND: Independiente</w:t>
      </w:r>
    </w:p>
    <w:p>
      <w:pPr>
        <w:pStyle w:val="ListBullet"/>
        <w:keepLines w:val="1"/>
        <w:widowControl w:val="1"/>
      </w:pPr>
      <w:r>
        <w:t>REN: Rentable (cost-effective)</w:t>
      </w:r>
    </w:p>
    <w:p>
      <w:pPr>
        <w:pStyle w:val="Heading2"/>
        <w:keepNext/>
        <w:keepLines/>
      </w:pPr>
      <w:r>
        <w:rPr>
          <w:color w:val="0066CC"/>
        </w:rPr>
        <w:t>Tabla de métricas y 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síntesis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técnicas ATT&amp;CK críticas con ≥1 contramedida D3FEND implementada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buen indicador de postura defensiva frente a amenazas prioritarias; requiere inventario y mapeo robustos.[web:5][web:8][web:18]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técnicas críticas con cobertura parcial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Señala zonas grises donde detección y mitigación no están alineadas; útil para priorización.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Nº/% técnicas críticas sin contramedidas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incómoda pero potente para decisiones de inversión y supervisión.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Densidad de contramedidas por técnica crítica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Aporta contexto de profundidad defensiva, aunque su interpretación requiere madurez.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MTTD incidentes críticos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clásica de SOC, ampliamente comprendida y ligada a efectividad de detección.[web:18][web:21]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MTTR/MTTM incidentes críticos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Refleja capacidad de respuesta y recuperación; relevante para resiliencia operacional.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incidentes detectados dentro de umbral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Facilita fijar SLOs y evaluar cumplimiento de objetivos de tiempo.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Variación % MTTD/MTTR tras nuevas contramedidas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muy útil para evaluar ROI de iniciativas específicas de seguridad.[web:5][web:18]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Tasa de éxito de mitigaciones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 qué parte del esfuerzo de respuesta se traduce en neutralización real.[web:5][web:18]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de recurrencia de incidentes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Ayuda a detectar “parches” que no resuelven causas de fondo.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Tasa de éxito por familia D3FEND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Permite refinar qué tipos de controles son más efectivos en la práctica.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activos/artefactos críticos con sensores adecuados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Conecta arquitectura de telemetría con la defensa informada por amenazas.[web:1][web:19]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flujos de datos críticos monitorizados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Complementa M4.1 y orienta inversiones en instrumentación.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de calidad de telemetría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compuesta útil pero más compleja de definir con precisión.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técnicas D3FEND no aplicables por falta de telemetría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Visibiliza el coste de no instrumentar adecuadamente el entorno.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rutas mando/control OT con controles y monitorización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Crítica para sectores OT; alta relevancia para resiliencia nacional.[web:5][web:20]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protocolos industriales críticos monitorizados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Aporta visibilidad sobre cobertura específica OT.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MTTR-OT funciones críticas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Directamente ligada a continuidad de servicios esenciales.[web:20]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M5.4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incidentes OT con pérdida limitada dentro de umbrales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Permite evaluar efectividad global de la preparación OT frente a incidentes.</w:t>
            </w:r>
          </w:p>
        </w:tc>
      </w:tr>
    </w:tbl>
    <w:p/>
    <w:p>
      <w:r>
        <w:t>Nota: las puntuaciones PRAGMATIC deben adaptarse a cada contexto; aquí se ofrece una línea base razonable para España y entornos similares.[web:17][web:20][web:23]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