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 de métricas GQM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asociadas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D3FEND/ATT&amp;CK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 / marcos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 Cobertura ATT&amp;CK–D3FEND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M1.1, M1.2, M1.3, M1.4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ATT&amp;CK Enterprise, D3FEND Matrix y mapeos ATT&amp;CK–D3FEND[web:3][web:5][web:8]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 (gestión de riesgos), borrador Ley española de ciberseguridad 2025 (obligaciones de seguridad para entidades esenciales e importantes)[web:25][web:26][web:27]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Demuestran cómo se materializa la gestión de riesgos frente a técnicas concretas del adversario.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 Latencia detección/respuesta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M2.1, M2.2, M2.3, M2.4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D3FEND tácticas Detect, Evict, Restore[web:1][web:5]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23 (gestión y notificación de incidentes), ISO 27035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Miden capacidad de detección y respuesta, elementos centrales del cumplimiento.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 Eficacia de mitigaciones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M3.1, M3.2, M3.3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D3FEND técnicas de mitigación y erradicación[web:5][web:18]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21(2) (medidas técnicas y organizativas), NIST CSF (Respond, Recover)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Conectan la existencia de controles con su efectividad observable.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G4 Telemetría y sensores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M4.1, M4.2, M4.3, M4.4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D3FEND artefactos y sensores, CAD User Guide[web:1][web:19]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art. 21(2)(c) (políticas y procedimientos para monitorización), NIST SP 800-53 (AU, SI)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Evidencian la capacidad de monitorización y registro exigida normativamente.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G5 OT/ICS resiliente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M5.1, M5.2, M5.3, M5.4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D3FEND extensión OT[web:5]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 anexos I y II (sectores OT), legislación y guías nacionales de infraestructuras críticas[web:20][web:23]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Cubren requisitos de protección de servicios esenciales en entornos industriales y ciberfísicos.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