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(d) Mapeo detallado de preguntas a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D3FEND/ATT&amp;CK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normativa / 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2, 3, 4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Contexto organización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2–3 (ámbito de aplicación), borrador Ley de Ciberseguridad española 2025 (definición de entidades esenciales e importantes)[web:25][web:26][web:27]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Permite clasificar la organización según su criticidad regulatoria.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7–11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Conocimiento y adopción D3FEND/ATT&amp;CK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MITRE D3FEND Matrix, ATT&amp;CK Enterprise[web:1][web:3][web:14]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 (gestión de riesgos de ciberseguridad), ENISA guías de threat-informed defence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si la organización usa marcos de referencia reconocidos para threat-informed defence.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12–15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D3FEND CAD y modelado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D3FEND CAD User Guide[web:19][web:22]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21(2) (medidas técnicas y organizativas), NIST CSF v2 (Identify, Protect)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modelado estructurado apoya el análisis de riesgos y la selección de controles.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16–21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Catálogo ATT&amp;CK y coberturas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ATT&amp;CK, D3FEND mapeos ATT&amp;CK–D3FEND[web:3][web:5][web:8]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21(2)(a) (análisis de riesgos), guía de operadores esenciales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definición de catálogos de técnicas es coherente con un enfoque basado en riesgos.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22–26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Latencia, MTTR, eficacia mitigaciones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 operativas D3FEND[web:5][web:18][web:21]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23 (gestión y notificación de incidentes), ISO 27035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y MTTR son indicadores clave para respuesta a incidentes regulada.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27–29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Telemetría y calidad detecciones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D3FEND artefactos y sensores[web:1][web:19]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21(2)(c) (políticas y procedimientos de seguridad), NIST SP 800-53 (AU, SI)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de telemetría sustenta el cumplimiento de requisitos de monitorización.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30–32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OT / ICS y extensión D3FEND OT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D3FEND OT extension[web:5]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anexos (sectores OT), directrices sectoriales nacionales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Aborda requisitos específicos de infraestructuras esenciales OT.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33–35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Integración con 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D3FEND–NIST 800-53 mapeos[web:5][web:12]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20–21, ISO 27001, NIST CSF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el grado en que las prácticas técnicas se conectan con marcos normativos.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36–39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IGM y 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 de madurez y ROI[web:5][web:18][web:21]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20 (gobernanza y gestión), expectativas de supervisores sectoriales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métricas técnicas con indicadores de negocio y riesgo.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40–43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Gobierno y talento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ATT&amp;CK/D3FEND adoption maturity[web:14]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20(2) (responsabilidades de la alta dirección), buenas prácticas de 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el involucramiento de órganos de gobierno y capacidades internas.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44–46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Barreras y próximos pasos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Estrategias nacionales de ciberseguridad y planes de mejora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Identifica obstáculos y posibles líneas de actuación estratégica.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