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 (descripción)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propone un libro de Excel con las siguientes hojas:</w:t>
      </w:r>
    </w:p>
    <w:p>
      <w:pPr>
        <w:pStyle w:val="ListNumber"/>
        <w:keepLines w:val="1"/>
        <w:keepNext w:val="1"/>
        <w:widowControl w:val="1"/>
      </w:pPr>
      <w:r>
        <w:t>Respuestas: volcado de las respuestas de cada organización.</w:t>
      </w:r>
    </w:p>
    <w:p>
      <w:pPr>
        <w:pStyle w:val="ListNumber"/>
        <w:keepLines w:val="1"/>
        <w:keepNext w:val="1"/>
        <w:widowControl w:val="1"/>
      </w:pPr>
      <w:r>
        <w:t>Pesos_IGM: definición de pesos y escalas para el Índice Global de Madurez.</w:t>
      </w:r>
    </w:p>
    <w:p>
      <w:pPr>
        <w:pStyle w:val="ListNumber"/>
        <w:keepLines w:val="1"/>
        <w:keepNext w:val="1"/>
        <w:widowControl w:val="1"/>
      </w:pPr>
      <w:r>
        <w:t>Cálculo_IGM: cálculo automático del IGM por organización.</w:t>
      </w:r>
    </w:p>
    <w:p>
      <w:pPr>
        <w:pStyle w:val="ListNumber"/>
        <w:keepLines w:val="1"/>
        <w:keepNext w:val="1"/>
        <w:widowControl w:val="1"/>
      </w:pPr>
      <w:r>
        <w:t>Cálculo_ROI: estimación del ROI de iniciativas de seguridad.</w:t>
      </w:r>
    </w:p>
    <w:p>
      <w:pPr>
        <w:pStyle w:val="ListNumber"/>
        <w:keepLines w:val="1"/>
        <w:widowControl w:val="1"/>
      </w:pPr>
      <w:r>
        <w:t>Resumen_Sectorial: agregación de resultados por sector y tamaño.</w:t>
      </w:r>
    </w:p>
    <w:p>
      <w:pPr>
        <w:pStyle w:val="Heading2"/>
        <w:keepNext/>
        <w:keepLines/>
      </w:pPr>
      <w:r>
        <w:rPr>
          <w:color w:val="0066CC"/>
        </w:rPr>
        <w:t>2. Hoja "Respuestas"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ID_Organización</w:t>
      </w:r>
    </w:p>
    <w:p>
      <w:pPr>
        <w:pStyle w:val="ListBullet"/>
        <w:keepLines w:val="1"/>
        <w:keepNext w:val="1"/>
        <w:widowControl w:val="1"/>
      </w:pPr>
      <w:r>
        <w:t>Sector</w:t>
      </w:r>
    </w:p>
    <w:p>
      <w:pPr>
        <w:pStyle w:val="ListBullet"/>
        <w:keepLines w:val="1"/>
        <w:keepNext w:val="1"/>
        <w:widowControl w:val="1"/>
      </w:pPr>
      <w:r>
        <w:t>Tamaño</w:t>
      </w:r>
    </w:p>
    <w:p>
      <w:pPr>
        <w:pStyle w:val="ListBullet"/>
        <w:keepLines w:val="1"/>
        <w:keepNext w:val="1"/>
        <w:widowControl w:val="1"/>
      </w:pPr>
      <w:r>
        <w:t>Rol_Respondente</w:t>
      </w:r>
    </w:p>
    <w:p>
      <w:pPr>
        <w:pStyle w:val="ListBullet"/>
        <w:keepLines w:val="1"/>
        <w:widowControl w:val="1"/>
      </w:pPr>
      <w:r>
        <w:t>P7 a P46 (codificación numérica de cada respuesta cerrada)</w:t>
      </w:r>
    </w:p>
    <w:p>
      <w:r>
        <w:t>Las respuestas se codificarán en escalas numéricas; por ejemplo, en la pregunta 7 (conocimiento de D3FEND):</w:t>
      </w:r>
    </w:p>
    <w:p>
      <w:pPr>
        <w:pStyle w:val="ListBullet"/>
        <w:keepLines w:val="1"/>
        <w:keepNext w:val="1"/>
        <w:widowControl w:val="1"/>
      </w:pPr>
      <w:r>
        <w:t>0 = Nunca lo he oído mencionar</w:t>
      </w:r>
    </w:p>
    <w:p>
      <w:pPr>
        <w:pStyle w:val="ListBullet"/>
        <w:keepLines w:val="1"/>
        <w:keepNext w:val="1"/>
        <w:widowControl w:val="1"/>
      </w:pPr>
      <w:r>
        <w:t>1 = Me suena vagamente</w:t>
      </w:r>
    </w:p>
    <w:p>
      <w:pPr>
        <w:pStyle w:val="ListBullet"/>
        <w:keepLines w:val="1"/>
        <w:keepNext w:val="1"/>
        <w:widowControl w:val="1"/>
      </w:pPr>
      <w:r>
        <w:t>2 = Lo conocen algunas personas clave</w:t>
      </w:r>
    </w:p>
    <w:p>
      <w:pPr>
        <w:pStyle w:val="ListBullet"/>
        <w:keepLines w:val="1"/>
        <w:keepNext w:val="1"/>
        <w:widowControl w:val="1"/>
      </w:pPr>
      <w:r>
        <w:t>3 = Está integrado en algunos procesos</w:t>
      </w:r>
    </w:p>
    <w:p>
      <w:pPr>
        <w:pStyle w:val="ListBullet"/>
        <w:keepLines w:val="1"/>
        <w:widowControl w:val="1"/>
      </w:pPr>
      <w:r>
        <w:t>4 = Forma parte explícita de nuestra metodología</w:t>
      </w:r>
    </w:p>
    <w:p>
      <w:pPr>
        <w:pStyle w:val="Heading2"/>
        <w:keepNext/>
        <w:keepLines/>
      </w:pPr>
      <w:r>
        <w:rPr>
          <w:color w:val="0066CC"/>
        </w:rPr>
        <w:t>3. Hoja "Pesos_IGM"</w:t>
      </w:r>
    </w:p>
    <w:p>
      <w:r>
        <w:t>Definir para cada bloque un peso relativo en el IGM:</w:t>
      </w:r>
    </w:p>
    <w:p>
      <w:pPr>
        <w:pStyle w:val="ListBullet"/>
        <w:keepLines w:val="1"/>
        <w:keepNext w:val="1"/>
        <w:widowControl w:val="1"/>
      </w:pPr>
      <w:r>
        <w:t>Adopción ATT&amp;CK/D3FEND (P7–P11): peso 20 %.</w:t>
      </w:r>
    </w:p>
    <w:p>
      <w:pPr>
        <w:pStyle w:val="ListBullet"/>
        <w:keepLines w:val="1"/>
        <w:keepNext w:val="1"/>
        <w:widowControl w:val="1"/>
      </w:pPr>
      <w:r>
        <w:t>Modelado y CAD (P12–P15): peso 15 %.</w:t>
      </w:r>
    </w:p>
    <w:p>
      <w:pPr>
        <w:pStyle w:val="ListBullet"/>
        <w:keepLines w:val="1"/>
        <w:keepNext w:val="1"/>
        <w:widowControl w:val="1"/>
      </w:pPr>
      <w:r>
        <w:t>Cobertura ATT&amp;CK–D3FEND (P16–P21): peso 20 %.</w:t>
      </w:r>
    </w:p>
    <w:p>
      <w:pPr>
        <w:pStyle w:val="ListBullet"/>
        <w:keepLines w:val="1"/>
        <w:keepNext w:val="1"/>
        <w:widowControl w:val="1"/>
      </w:pPr>
      <w:r>
        <w:t>Métricas operativas (P22–P29): peso 20 %.</w:t>
      </w:r>
    </w:p>
    <w:p>
      <w:pPr>
        <w:pStyle w:val="ListBullet"/>
        <w:keepLines w:val="1"/>
        <w:keepNext w:val="1"/>
        <w:widowControl w:val="1"/>
      </w:pPr>
      <w:r>
        <w:t>OT/ICS (P30–P32): peso 10 % (aplicable sólo a organizaciones OT).</w:t>
      </w:r>
    </w:p>
    <w:p>
      <w:pPr>
        <w:pStyle w:val="ListBullet"/>
        <w:keepLines w:val="1"/>
        <w:keepNext w:val="1"/>
        <w:widowControl w:val="1"/>
      </w:pPr>
      <w:r>
        <w:t>Integración normativa (P33–P35): peso 10 %.</w:t>
      </w:r>
    </w:p>
    <w:p>
      <w:pPr>
        <w:pStyle w:val="ListBullet"/>
        <w:keepLines w:val="1"/>
        <w:widowControl w:val="1"/>
      </w:pPr>
      <w:r>
        <w:t>Gobierno y talento (P40–P43): peso 5 %.</w:t>
      </w:r>
    </w:p>
    <w:p>
      <w:r>
        <w:t>Cada pregunta tendrá además un peso interno dentro de su bloque (por ejemplo, igualitario o ajustado según criterio experto).</w:t>
      </w:r>
    </w:p>
    <w:p>
      <w:pPr>
        <w:pStyle w:val="Heading2"/>
        <w:keepNext/>
        <w:keepLines/>
      </w:pPr>
      <w:r>
        <w:rPr>
          <w:color w:val="0066CC"/>
        </w:rPr>
        <w:t>4. Hoja "Cálculo_IGM"</w:t>
      </w:r>
    </w:p>
    <w:p>
      <w:r>
        <w:t>Para cada organización:</w:t>
      </w:r>
    </w:p>
    <w:p>
      <w:pPr>
        <w:pStyle w:val="ListNumber"/>
        <w:keepLines w:val="1"/>
        <w:keepNext w:val="1"/>
        <w:widowControl w:val="1"/>
      </w:pPr>
      <w:r>
        <w:t>Normalizar las respuestas de cada pregunta a una escala 0–1 (valor_respuesta / valor_máximo).</w:t>
      </w:r>
    </w:p>
    <w:p>
      <w:pPr>
        <w:pStyle w:val="ListNumber"/>
        <w:keepLines w:val="1"/>
        <w:keepNext w:val="1"/>
        <w:widowControl w:val="1"/>
      </w:pPr>
      <w:r>
        <w:t>Calcular el promedio por bloque temático.</w:t>
      </w:r>
    </w:p>
    <w:p>
      <w:pPr>
        <w:pStyle w:val="ListNumber"/>
        <w:keepLines w:val="1"/>
        <w:keepNext w:val="1"/>
        <w:widowControl w:val="1"/>
      </w:pPr>
      <w:r>
        <w:t>Multiplicar el promedio por el peso del bloque.</w:t>
      </w:r>
    </w:p>
    <w:p>
      <w:pPr>
        <w:pStyle w:val="ListNumber"/>
        <w:keepLines w:val="1"/>
        <w:widowControl w:val="1"/>
      </w:pPr>
      <w:r>
        <w:t>Sumar los resultados de todos los bloques para obtener el IGM en una escala 0–100.</w:t>
      </w:r>
    </w:p>
    <w:p>
      <w:r>
        <w:t>Se pueden añadir:</w:t>
      </w:r>
    </w:p>
    <w:p>
      <w:pPr>
        <w:pStyle w:val="ListBullet"/>
        <w:keepLines w:val="1"/>
        <w:keepNext w:val="1"/>
        <w:widowControl w:val="1"/>
      </w:pPr>
      <w:r>
        <w:t>Rangos de madurez (por ejemplo, 0–20 muy bajo, 21–40 bajo, 41–60 medio, 61–80 alto, 81–100 muy alto).</w:t>
      </w:r>
    </w:p>
    <w:p>
      <w:pPr>
        <w:pStyle w:val="ListBullet"/>
        <w:keepLines w:val="1"/>
        <w:widowControl w:val="1"/>
      </w:pPr>
      <w:r>
        <w:t>Visualizaciones (gráficos de radar por bloque, histogramas de IGM por sector).</w:t>
      </w:r>
    </w:p>
    <w:p>
      <w:pPr>
        <w:pStyle w:val="Heading2"/>
        <w:keepNext/>
        <w:keepLines/>
      </w:pPr>
      <w:r>
        <w:rPr>
          <w:color w:val="0066CC"/>
        </w:rPr>
        <w:t>5. Hoja "Cálculo_ROI"</w:t>
      </w:r>
    </w:p>
    <w:p>
      <w:r>
        <w:t>Variables sugeridas:</w:t>
      </w:r>
    </w:p>
    <w:p>
      <w:pPr>
        <w:pStyle w:val="ListBullet"/>
        <w:keepLines w:val="1"/>
        <w:keepNext w:val="1"/>
        <w:widowControl w:val="1"/>
      </w:pPr>
      <w:r>
        <w:t>Coste_Proyecto: costes directos de un proyecto de seguridad (CAPEX + OPEX a 3–5 años).</w:t>
      </w:r>
    </w:p>
    <w:p>
      <w:pPr>
        <w:pStyle w:val="ListBullet"/>
        <w:keepLines w:val="1"/>
        <w:keepNext w:val="1"/>
        <w:widowControl w:val="1"/>
      </w:pPr>
      <w:r>
        <w:t>Reducción_MTTD: diferencia en MTTD antes/después del proyecto (minutos u horas).</w:t>
      </w:r>
    </w:p>
    <w:p>
      <w:pPr>
        <w:pStyle w:val="ListBullet"/>
        <w:keepLines w:val="1"/>
        <w:keepNext w:val="1"/>
        <w:widowControl w:val="1"/>
      </w:pPr>
      <w:r>
        <w:t>Reducción_MTTR: diferencia en MTTR.</w:t>
      </w:r>
    </w:p>
    <w:p>
      <w:pPr>
        <w:pStyle w:val="ListBullet"/>
        <w:keepLines w:val="1"/>
        <w:keepNext w:val="1"/>
        <w:widowControl w:val="1"/>
      </w:pPr>
      <w:r>
        <w:t>Reducción_Frecuencia: reducción estimada de número de incidentes anuales.</w:t>
      </w:r>
    </w:p>
    <w:p>
      <w:pPr>
        <w:pStyle w:val="ListBullet"/>
        <w:keepLines w:val="1"/>
        <w:widowControl w:val="1"/>
      </w:pPr>
      <w:r>
        <w:t>Coste_Medio_Incidente: coste estimado (directo + indirecto) por incidente.</w:t>
      </w:r>
    </w:p>
    <w:p>
      <w:r>
        <w:t>Cálculos básicos:</w:t>
      </w:r>
    </w:p>
    <w:p>
      <w:pPr>
        <w:pStyle w:val="ListBullet"/>
        <w:keepLines w:val="1"/>
        <w:keepNext w:val="1"/>
        <w:widowControl w:val="1"/>
      </w:pPr>
      <w:r>
        <w:t>Beneficio_Horas_Evitadas = (Reducción_MTTD + Reducción_MTTR) * Número_Incidentes * Coste_Medio_Hora_Impacto.</w:t>
      </w:r>
    </w:p>
    <w:p>
      <w:pPr>
        <w:pStyle w:val="ListBullet"/>
        <w:keepLines w:val="1"/>
        <w:keepNext w:val="1"/>
        <w:widowControl w:val="1"/>
      </w:pPr>
      <w:r>
        <w:t>Beneficio_Incidentes_Evitados = Reducción_Frecuencia * Coste_Medio_Incidente.</w:t>
      </w:r>
    </w:p>
    <w:p>
      <w:pPr>
        <w:pStyle w:val="ListBullet"/>
        <w:keepLines w:val="1"/>
        <w:keepNext w:val="1"/>
        <w:widowControl w:val="1"/>
      </w:pPr>
      <w:r>
        <w:t>Beneficio_Total = Beneficio_Horas_Evitadas + Beneficio_Incidentes_Evitados.</w:t>
      </w:r>
    </w:p>
    <w:p>
      <w:pPr>
        <w:pStyle w:val="ListBullet"/>
        <w:keepLines w:val="1"/>
        <w:widowControl w:val="1"/>
      </w:pPr>
      <w:r>
        <w:t>ROI = (Beneficio_Total - Coste_Proyecto) / Coste_Proyecto.</w:t>
      </w:r>
    </w:p>
    <w:p>
      <w:r>
        <w:t>Este enfoque puede refinarse con técnicas actuariales más sofisticadas, pero ofrece un punto de partida razonable para ligar métricas D3FEND (tiempos, frecuencias, coberturas) con resultados económicos.[web:5][web:18][web:21]</w:t>
      </w:r>
    </w:p>
    <w:p>
      <w:pPr>
        <w:pStyle w:val="Heading2"/>
        <w:keepNext/>
        <w:keepLines/>
      </w:pPr>
      <w:r>
        <w:rPr>
          <w:color w:val="0066CC"/>
        </w:rPr>
        <w:t>6. Hoja "Resumen_Sectorial"</w:t>
      </w:r>
    </w:p>
    <w:p>
      <w:r>
        <w:t>Cálculos propuestos:</w:t>
      </w:r>
    </w:p>
    <w:p>
      <w:pPr>
        <w:pStyle w:val="ListBullet"/>
        <w:keepLines w:val="1"/>
        <w:keepNext w:val="1"/>
        <w:widowControl w:val="1"/>
      </w:pPr>
      <w:r>
        <w:t>IGM medio por sector.</w:t>
      </w:r>
    </w:p>
    <w:p>
      <w:pPr>
        <w:pStyle w:val="ListBullet"/>
        <w:keepLines w:val="1"/>
        <w:keepNext w:val="1"/>
        <w:widowControl w:val="1"/>
      </w:pPr>
      <w:r>
        <w:t>Distribución de IGM por tamaño de organización.</w:t>
      </w:r>
    </w:p>
    <w:p>
      <w:pPr>
        <w:pStyle w:val="ListBullet"/>
        <w:keepLines w:val="1"/>
        <w:keepNext w:val="1"/>
        <w:widowControl w:val="1"/>
      </w:pPr>
      <w:r>
        <w:t>Porcentaje de organizaciones que miden MTTD, MTTR, coberturas ATT&amp;CK–D3FEND.[web:18][web:21]</w:t>
      </w:r>
    </w:p>
    <w:p>
      <w:pPr>
        <w:pStyle w:val="ListBullet"/>
        <w:keepLines w:val="1"/>
        <w:widowControl w:val="1"/>
      </w:pPr>
      <w:r>
        <w:t>Gráficos comparativos entre sectores.</w:t>
      </w:r>
    </w:p>
    <w:p>
      <w:r>
        <w:t>Esta hoja permite construir, casi sin querer, el argumento para políticas públicas, prioridades de inversión y, con un poco de suerte, alguna que otra reflexión incómoda en consejos de administración.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