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cálculo de IGM y ROI basada en GQM + PRAGMATIC</w:t>
      </w:r>
    </w:p>
    <w:p>
      <w:pPr>
        <w:pStyle w:val="Heading2"/>
        <w:keepNext/>
        <w:keepLines/>
      </w:pPr>
      <w:r>
        <w:rPr>
          <w:color w:val="0066CC"/>
        </w:rPr>
        <w:t>1. Hojas propuestas</w:t>
      </w:r>
    </w:p>
    <w:p>
      <w:pPr>
        <w:pStyle w:val="ListNumber"/>
        <w:keepLines w:val="1"/>
        <w:keepNext w:val="1"/>
        <w:widowControl w:val="1"/>
      </w:pPr>
      <w:r>
        <w:t>Definición_Métricas: listado de métricas (M1.x–M5.x) con definición, fórmula y ponderaciones GQM/PRAGMATIC.</w:t>
      </w:r>
    </w:p>
    <w:p>
      <w:pPr>
        <w:pStyle w:val="ListNumber"/>
        <w:keepLines w:val="1"/>
        <w:keepNext w:val="1"/>
        <w:widowControl w:val="1"/>
      </w:pPr>
      <w:r>
        <w:t>Datos_Organización: valores de métricas por organización.</w:t>
      </w:r>
    </w:p>
    <w:p>
      <w:pPr>
        <w:pStyle w:val="ListNumber"/>
        <w:keepLines w:val="1"/>
        <w:keepNext w:val="1"/>
        <w:widowControl w:val="1"/>
      </w:pPr>
      <w:r>
        <w:t>Cálculo_IGM: cálculo del Índice Global de Madurez a partir de métricas ponderadas.</w:t>
      </w:r>
    </w:p>
    <w:p>
      <w:pPr>
        <w:pStyle w:val="ListNumber"/>
        <w:keepLines w:val="1"/>
        <w:keepNext w:val="1"/>
        <w:widowControl w:val="1"/>
      </w:pPr>
      <w:r>
        <w:t>Cálculo_ROI: estimación de retorno de inversión ligada a mejoras en métricas clave.</w:t>
      </w:r>
    </w:p>
    <w:p>
      <w:pPr>
        <w:pStyle w:val="ListNumber"/>
        <w:keepLines w:val="1"/>
        <w:widowControl w:val="1"/>
      </w:pPr>
      <w:r>
        <w:t>Resumen_Sectorial: agregados por sector, tamaño y ámbito.</w:t>
      </w:r>
    </w:p>
    <w:p>
      <w:pPr>
        <w:pStyle w:val="Heading2"/>
        <w:keepNext/>
        <w:keepLines/>
      </w:pPr>
      <w:r>
        <w:rPr>
          <w:color w:val="0066CC"/>
        </w:rPr>
        <w:t>2. Hoja "Definición_Métricas"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Código_Métrica (M1.1, M2.1, etc.).</w:t>
      </w:r>
    </w:p>
    <w:p>
      <w:pPr>
        <w:pStyle w:val="ListBullet"/>
        <w:keepLines w:val="1"/>
        <w:keepNext w:val="1"/>
        <w:widowControl w:val="1"/>
      </w:pPr>
      <w:r>
        <w:t>Descripción.</w:t>
      </w:r>
    </w:p>
    <w:p>
      <w:pPr>
        <w:pStyle w:val="ListBullet"/>
        <w:keepLines w:val="1"/>
        <w:keepNext w:val="1"/>
        <w:widowControl w:val="1"/>
      </w:pPr>
      <w:r>
        <w:t>Fórmula de cálculo.</w:t>
      </w:r>
    </w:p>
    <w:p>
      <w:pPr>
        <w:pStyle w:val="ListBullet"/>
        <w:keepLines w:val="1"/>
        <w:keepNext w:val="1"/>
        <w:widowControl w:val="1"/>
      </w:pPr>
      <w:r>
        <w:t>Unidad (%, minutos, horas, índice 0–1, etc.).</w:t>
      </w:r>
    </w:p>
    <w:p>
      <w:pPr>
        <w:pStyle w:val="ListBullet"/>
        <w:keepLines w:val="1"/>
        <w:keepNext w:val="1"/>
        <w:widowControl w:val="1"/>
      </w:pPr>
      <w:r>
        <w:t>Objetivo_GQM (G1–G5).</w:t>
      </w:r>
    </w:p>
    <w:p>
      <w:pPr>
        <w:pStyle w:val="ListBullet"/>
        <w:keepLines w:val="1"/>
        <w:keepNext w:val="1"/>
        <w:widowControl w:val="1"/>
      </w:pPr>
      <w:r>
        <w:t>Peso_en_IGM (0–1).</w:t>
      </w:r>
    </w:p>
    <w:p>
      <w:pPr>
        <w:pStyle w:val="ListBullet"/>
        <w:keepLines w:val="1"/>
        <w:widowControl w:val="1"/>
      </w:pPr>
      <w:r>
        <w:t>PRED, REL, ACC, GEN, SIG, PRE, OPO, IND, REN (valores 1–5).</w:t>
      </w:r>
    </w:p>
    <w:p>
      <w:r>
        <w:t>Los pesos en el IGM pueden asignarse, por ejemplo:</w:t>
      </w:r>
    </w:p>
    <w:p>
      <w:pPr>
        <w:pStyle w:val="ListBullet"/>
        <w:keepLines w:val="1"/>
        <w:keepNext w:val="1"/>
        <w:widowControl w:val="1"/>
      </w:pPr>
      <w:r>
        <w:t>Cobertura (M1.x): 30 % del IGM.</w:t>
      </w:r>
    </w:p>
    <w:p>
      <w:pPr>
        <w:pStyle w:val="ListBullet"/>
        <w:keepLines w:val="1"/>
        <w:keepNext w:val="1"/>
        <w:widowControl w:val="1"/>
      </w:pPr>
      <w:r>
        <w:t>Latencia (M2.x): 25 %.</w:t>
      </w:r>
    </w:p>
    <w:p>
      <w:pPr>
        <w:pStyle w:val="ListBullet"/>
        <w:keepLines w:val="1"/>
        <w:keepNext w:val="1"/>
        <w:widowControl w:val="1"/>
      </w:pPr>
      <w:r>
        <w:t>Eficacia (M3.x): 15 %.</w:t>
      </w:r>
    </w:p>
    <w:p>
      <w:pPr>
        <w:pStyle w:val="ListBullet"/>
        <w:keepLines w:val="1"/>
        <w:keepNext w:val="1"/>
        <w:widowControl w:val="1"/>
      </w:pPr>
      <w:r>
        <w:t>Telemetría (M4.x): 15 %.</w:t>
      </w:r>
    </w:p>
    <w:p>
      <w:pPr>
        <w:pStyle w:val="ListBullet"/>
        <w:keepLines w:val="1"/>
        <w:widowControl w:val="1"/>
      </w:pPr>
      <w:r>
        <w:t>OT/ICS (M5.x): 15 % (aplicable sólo a organizaciones OT).[web:5][web:18][web:21]</w:t>
      </w:r>
    </w:p>
    <w:p>
      <w:pPr>
        <w:pStyle w:val="Heading2"/>
        <w:keepNext/>
        <w:keepLines/>
      </w:pPr>
      <w:r>
        <w:rPr>
          <w:color w:val="0066CC"/>
        </w:rPr>
        <w:t>3. Hoja "Datos_Organización"</w:t>
      </w:r>
    </w:p>
    <w:p>
      <w:r>
        <w:t>Columnas por organización:</w:t>
      </w:r>
    </w:p>
    <w:p>
      <w:pPr>
        <w:pStyle w:val="ListBullet"/>
        <w:keepLines w:val="1"/>
        <w:keepNext w:val="1"/>
        <w:widowControl w:val="1"/>
      </w:pPr>
      <w:r>
        <w:t>ID_Organización.</w:t>
      </w:r>
    </w:p>
    <w:p>
      <w:pPr>
        <w:pStyle w:val="ListBullet"/>
        <w:keepLines w:val="1"/>
        <w:keepNext w:val="1"/>
        <w:widowControl w:val="1"/>
      </w:pPr>
      <w:r>
        <w:t>Sector.</w:t>
      </w:r>
    </w:p>
    <w:p>
      <w:pPr>
        <w:pStyle w:val="ListBullet"/>
        <w:keepLines w:val="1"/>
        <w:keepNext w:val="1"/>
        <w:widowControl w:val="1"/>
      </w:pPr>
      <w:r>
        <w:t>Tamaño.</w:t>
      </w:r>
    </w:p>
    <w:p>
      <w:pPr>
        <w:pStyle w:val="ListBullet"/>
        <w:keepLines w:val="1"/>
        <w:keepNext w:val="1"/>
        <w:widowControl w:val="1"/>
      </w:pPr>
      <w:r>
        <w:t>Ámbito.</w:t>
      </w:r>
    </w:p>
    <w:p>
      <w:pPr>
        <w:pStyle w:val="ListBullet"/>
        <w:keepLines w:val="1"/>
        <w:widowControl w:val="1"/>
      </w:pPr>
      <w:r>
        <w:t>Valores de M1.1 a M5.4 según aplique.</w:t>
      </w:r>
    </w:p>
    <w:p>
      <w:r>
        <w:t>Cada métrica se introduce en su unidad nativa (porcentajes, tiempos, tasas), y se normaliza en la hoja de cálculo del IGM.</w:t>
      </w:r>
    </w:p>
    <w:p>
      <w:pPr>
        <w:pStyle w:val="Heading2"/>
        <w:keepNext/>
        <w:keepLines/>
      </w:pPr>
      <w:r>
        <w:rPr>
          <w:color w:val="0066CC"/>
        </w:rPr>
        <w:t>4. Hoja "Cálculo_IGM"</w:t>
      </w:r>
    </w:p>
    <w:p>
      <w:r>
        <w:t>Para cada organización:</w:t>
      </w:r>
    </w:p>
    <w:p>
      <w:pPr>
        <w:pStyle w:val="ListNumber"/>
        <w:keepLines w:val="1"/>
        <w:keepNext w:val="1"/>
        <w:widowControl w:val="1"/>
      </w:pPr>
      <w:r>
        <w:t>Normalizar cada métrica a un rango 0–1 (por ejemplo, aplicando funciones de valor donde valores más altos son mejores, salvo en tiempos donde se invierte la escala).</w:t>
      </w:r>
    </w:p>
    <w:p>
      <w:pPr>
        <w:pStyle w:val="ListNumber"/>
        <w:keepLines w:val="1"/>
        <w:keepNext w:val="1"/>
        <w:widowControl w:val="1"/>
      </w:pPr>
      <w:r>
        <w:t>Multiplicar cada métrica normalizada por su peso en el IGM.</w:t>
      </w:r>
    </w:p>
    <w:p>
      <w:pPr>
        <w:pStyle w:val="ListNumber"/>
        <w:keepLines w:val="1"/>
        <w:widowControl w:val="1"/>
      </w:pPr>
      <w:r>
        <w:t>Sumar las métricas ponderadas para obtener un IGM en escala 0–100.</w:t>
      </w:r>
    </w:p>
    <w:p>
      <w:r>
        <w:t>Puede incluirse un desglose por familia:</w:t>
      </w:r>
    </w:p>
    <w:p>
      <w:pPr>
        <w:pStyle w:val="ListBullet"/>
        <w:keepLines w:val="1"/>
        <w:keepNext w:val="1"/>
        <w:widowControl w:val="1"/>
      </w:pPr>
      <w:r>
        <w:t>IGM_Cobertura.</w:t>
      </w:r>
    </w:p>
    <w:p>
      <w:pPr>
        <w:pStyle w:val="ListBullet"/>
        <w:keepLines w:val="1"/>
        <w:keepNext w:val="1"/>
        <w:widowControl w:val="1"/>
      </w:pPr>
      <w:r>
        <w:t>IGM_Latencia.</w:t>
      </w:r>
    </w:p>
    <w:p>
      <w:pPr>
        <w:pStyle w:val="ListBullet"/>
        <w:keepLines w:val="1"/>
        <w:keepNext w:val="1"/>
        <w:widowControl w:val="1"/>
      </w:pPr>
      <w:r>
        <w:t>IGM_Eficacia.</w:t>
      </w:r>
    </w:p>
    <w:p>
      <w:pPr>
        <w:pStyle w:val="ListBullet"/>
        <w:keepLines w:val="1"/>
        <w:keepNext w:val="1"/>
        <w:widowControl w:val="1"/>
      </w:pPr>
      <w:r>
        <w:t>IGM_Telemetría.</w:t>
      </w:r>
    </w:p>
    <w:p>
      <w:pPr>
        <w:pStyle w:val="ListBullet"/>
        <w:keepLines w:val="1"/>
        <w:widowControl w:val="1"/>
      </w:pPr>
      <w:r>
        <w:t>IGM_OT.</w:t>
      </w:r>
    </w:p>
    <w:p>
      <w:pPr>
        <w:pStyle w:val="Heading2"/>
        <w:keepNext/>
        <w:keepLines/>
      </w:pPr>
      <w:r>
        <w:rPr>
          <w:color w:val="0066CC"/>
        </w:rPr>
        <w:t>5. Hoja "Cálculo_ROI"</w:t>
      </w:r>
    </w:p>
    <w:p>
      <w:r>
        <w:t>Se reutilizan variables del diseño anterior (coste de proyectos, reducción de MTTD/MTTR, reducción de incidentes, coste medio de incidente), con un matiz: se puede asociar cada iniciativa a las métricas que impacta.</w:t>
      </w:r>
    </w:p>
    <w:p>
      <w:r>
        <w:t>Por ejemplo:</w:t>
      </w:r>
    </w:p>
    <w:p>
      <w:pPr>
        <w:pStyle w:val="ListBullet"/>
        <w:keepLines w:val="1"/>
        <w:keepNext w:val="1"/>
        <w:widowControl w:val="1"/>
      </w:pPr>
      <w:r>
        <w:t>Proyecto A (mejora de detección endpoint): impacto esperado en M1.1, M2.1, M2.3.</w:t>
      </w:r>
    </w:p>
    <w:p>
      <w:pPr>
        <w:pStyle w:val="ListBullet"/>
        <w:keepLines w:val="1"/>
        <w:widowControl w:val="1"/>
      </w:pPr>
      <w:r>
        <w:t>Proyecto B (instrumentación OT): impacto esperado en M4.1, M5.1, M5.2.</w:t>
      </w:r>
    </w:p>
    <w:p>
      <w:r>
        <w:t>El ROI se calcula como:</w:t>
      </w:r>
    </w:p>
    <w:p>
      <w:pPr>
        <w:pStyle w:val="ListBullet"/>
        <w:keepLines w:val="1"/>
        <w:keepNext w:val="1"/>
        <w:widowControl w:val="1"/>
      </w:pPr>
      <w:r>
        <w:t>Beneficio_Horas_Evitadas = (Reducción_MTTD + Reducción_MTTR) * Número_Incidentes * Coste_Medio_Hora_Impacto.</w:t>
      </w:r>
    </w:p>
    <w:p>
      <w:pPr>
        <w:pStyle w:val="ListBullet"/>
        <w:keepLines w:val="1"/>
        <w:keepNext w:val="1"/>
        <w:widowControl w:val="1"/>
      </w:pPr>
      <w:r>
        <w:t>Beneficio_Incidentes_Evitados = Reducción_Frecuencia * Coste_Medio_Incidente.</w:t>
      </w:r>
    </w:p>
    <w:p>
      <w:pPr>
        <w:pStyle w:val="ListBullet"/>
        <w:keepLines w:val="1"/>
        <w:keepNext w:val="1"/>
        <w:widowControl w:val="1"/>
      </w:pPr>
      <w:r>
        <w:t>Beneficio_Total = Beneficio_Horas_Evitadas + Beneficio_Incidentes_Evitados.</w:t>
      </w:r>
    </w:p>
    <w:p>
      <w:pPr>
        <w:pStyle w:val="ListBullet"/>
        <w:keepLines w:val="1"/>
        <w:widowControl w:val="1"/>
      </w:pPr>
      <w:r>
        <w:t>ROI = (Beneficio_Total - Coste_Proyecto) / Coste_Proyecto.</w:t>
      </w:r>
    </w:p>
    <w:p>
      <w:r>
        <w:t>Se añade, además, un campo ∆IGM por iniciativa (incremento esperado del IGM) para valorar proyectos no sólo por retorno económico, sino por mejora global de madurez.[web:5][web:18][web:21]</w:t>
      </w:r>
    </w:p>
    <w:p>
      <w:pPr>
        <w:pStyle w:val="Heading2"/>
        <w:keepNext/>
        <w:keepLines/>
      </w:pPr>
      <w:r>
        <w:rPr>
          <w:color w:val="0066CC"/>
        </w:rPr>
        <w:t>6. Hoja "Resumen_Sectorial"</w:t>
      </w:r>
    </w:p>
    <w:p>
      <w:r>
        <w:t>Proporciona, para cada sector y tamaño de organización:</w:t>
      </w:r>
    </w:p>
    <w:p>
      <w:pPr>
        <w:pStyle w:val="ListBullet"/>
        <w:keepLines w:val="1"/>
        <w:keepNext w:val="1"/>
        <w:widowControl w:val="1"/>
      </w:pPr>
      <w:r>
        <w:t>IGM medio y distribución.</w:t>
      </w:r>
    </w:p>
    <w:p>
      <w:pPr>
        <w:pStyle w:val="ListBullet"/>
        <w:keepLines w:val="1"/>
        <w:keepNext w:val="1"/>
        <w:widowControl w:val="1"/>
      </w:pPr>
      <w:r>
        <w:t>Valores medios de las métricas clave (M1.1, M2.1, M5.1, etc.).</w:t>
      </w:r>
    </w:p>
    <w:p>
      <w:pPr>
        <w:pStyle w:val="ListBullet"/>
        <w:keepLines w:val="1"/>
        <w:widowControl w:val="1"/>
      </w:pPr>
      <w:r>
        <w:t>Porcentaje de organizaciones por rango de IGM.</w:t>
      </w:r>
    </w:p>
    <w:p>
      <w:r>
        <w:t>Esta hoja alimenta directamente el reporte ejecutivo y puede convertirse en la base de indicadores nacionales o sectoriales de resiliencia.[web:17][web:20][web:23]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