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(f) Plantilla de Reporte Ejecutivo GQM + PRAGMATIC (estructura en Markdown)</w:t>
      </w:r>
    </w:p>
    <w:p>
      <w:pPr>
        <w:pStyle w:val="Heading2"/>
        <w:keepNext/>
        <w:keepLines/>
      </w:pPr>
      <w:r>
        <w:rPr>
          <w:color w:val="0066CC"/>
        </w:rPr>
        <w:t>Diapositiva 1 – Portada</w:t>
      </w:r>
    </w:p>
    <w:p>
      <w:pPr>
        <w:pStyle w:val="ListBullet"/>
        <w:keepLines w:val="1"/>
        <w:keepNext w:val="1"/>
        <w:widowControl w:val="1"/>
      </w:pPr>
      <w:r>
        <w:t>Título: "Indicadores MITRE D3FEND: de la estrategia a la consola".</w:t>
      </w:r>
    </w:p>
    <w:p>
      <w:pPr>
        <w:pStyle w:val="ListBullet"/>
        <w:keepLines w:val="1"/>
        <w:keepNext w:val="1"/>
        <w:widowControl w:val="1"/>
      </w:pPr>
      <w:r>
        <w:t>Subtítulo: "Marco GQM + PRAGMATIC y resultados agregados".</w:t>
      </w:r>
    </w:p>
    <w:p>
      <w:pPr>
        <w:pStyle w:val="ListBullet"/>
        <w:keepLines w:val="1"/>
        <w:widowControl w:val="1"/>
      </w:pPr>
      <w:r>
        <w:t>Fecha y entidad responsable.</w:t>
      </w:r>
    </w:p>
    <w:p>
      <w:pPr>
        <w:pStyle w:val="Heading2"/>
        <w:keepNext/>
        <w:keepLines/>
      </w:pPr>
      <w:r>
        <w:rPr>
          <w:color w:val="0066CC"/>
        </w:rPr>
        <w:t>Diapositiva 2 – Por qué este marco</w:t>
      </w:r>
    </w:p>
    <w:p>
      <w:pPr>
        <w:pStyle w:val="ListBullet"/>
        <w:keepLines w:val="1"/>
        <w:keepNext w:val="1"/>
        <w:widowControl w:val="1"/>
      </w:pPr>
      <w:r>
        <w:t>Problema: exceso de métricas decorativas y falta de trazabilidad.</w:t>
      </w:r>
    </w:p>
    <w:p>
      <w:pPr>
        <w:pStyle w:val="ListBullet"/>
        <w:keepLines w:val="1"/>
        <w:widowControl w:val="1"/>
      </w:pPr>
      <w:r>
        <w:t>Solución: combinar GQM (objetivos–preguntas–métricas) con PRAGMATIC (calidad de las métricas).[web:18][web:21]</w:t>
      </w:r>
    </w:p>
    <w:p>
      <w:pPr>
        <w:pStyle w:val="Heading2"/>
        <w:keepNext/>
        <w:keepLines/>
      </w:pPr>
      <w:r>
        <w:rPr>
          <w:color w:val="0066CC"/>
        </w:rPr>
        <w:t>Diapositiva 3 – Resumen de GQM aplicado a D3FEND</w:t>
      </w:r>
    </w:p>
    <w:p>
      <w:pPr>
        <w:pStyle w:val="ListBullet"/>
        <w:keepLines w:val="1"/>
        <w:keepNext w:val="1"/>
        <w:widowControl w:val="1"/>
      </w:pPr>
      <w:r>
        <w:t>Objetivos G1–G5 (cobertura, latencia, eficacia, telemetría, OT).[web:5]</w:t>
      </w:r>
    </w:p>
    <w:p>
      <w:pPr>
        <w:pStyle w:val="ListBullet"/>
        <w:keepLines w:val="1"/>
        <w:widowControl w:val="1"/>
      </w:pPr>
      <w:r>
        <w:t>Uso de ATT&amp;CK y D3FEND como lenguajes de referencia.[web:3][web:5]</w:t>
      </w:r>
    </w:p>
    <w:p>
      <w:pPr>
        <w:pStyle w:val="Heading2"/>
        <w:keepNext/>
        <w:keepLines/>
      </w:pPr>
      <w:r>
        <w:rPr>
          <w:color w:val="0066CC"/>
        </w:rPr>
        <w:t>Diapositiva 4 – Resumen de PRAGMATIC</w:t>
      </w:r>
    </w:p>
    <w:p>
      <w:pPr>
        <w:pStyle w:val="ListBullet"/>
        <w:keepLines w:val="1"/>
        <w:keepNext w:val="1"/>
        <w:widowControl w:val="1"/>
      </w:pPr>
      <w:r>
        <w:t>Nueve criterios explicados en lenguaje sencillo.</w:t>
      </w:r>
    </w:p>
    <w:p>
      <w:pPr>
        <w:pStyle w:val="ListBullet"/>
        <w:keepLines w:val="1"/>
        <w:widowControl w:val="1"/>
      </w:pPr>
      <w:r>
        <w:t>Ejemplo breve con MTTD (M2.1) y cobertura de técnicas críticas (M1.1).</w:t>
      </w:r>
    </w:p>
    <w:p>
      <w:pPr>
        <w:pStyle w:val="Heading2"/>
        <w:keepNext/>
        <w:keepLines/>
      </w:pPr>
      <w:r>
        <w:rPr>
          <w:color w:val="0066CC"/>
        </w:rPr>
        <w:t>Diapositiva 5 – Principales métricas seleccionadas</w:t>
      </w:r>
    </w:p>
    <w:p>
      <w:pPr>
        <w:pStyle w:val="ListBullet"/>
        <w:keepLines w:val="1"/>
        <w:keepNext w:val="1"/>
        <w:widowControl w:val="1"/>
      </w:pPr>
      <w:r>
        <w:t>Lista de métricas M1.x–M5.x.</w:t>
      </w:r>
    </w:p>
    <w:p>
      <w:pPr>
        <w:pStyle w:val="ListBullet"/>
        <w:keepLines w:val="1"/>
        <w:widowControl w:val="1"/>
      </w:pPr>
      <w:r>
        <w:t>Justificación de su elección (alta puntuación PRAGMATIC).[web:5][web:18]</w:t>
      </w:r>
    </w:p>
    <w:p>
      <w:pPr>
        <w:pStyle w:val="Heading2"/>
        <w:keepNext/>
        <w:keepLines/>
      </w:pPr>
      <w:r>
        <w:rPr>
          <w:color w:val="0066CC"/>
        </w:rPr>
        <w:t>Diapositiva 6 – IGM: índice global de madurez</w:t>
      </w:r>
    </w:p>
    <w:p>
      <w:pPr>
        <w:pStyle w:val="ListBullet"/>
        <w:keepLines w:val="1"/>
        <w:keepNext w:val="1"/>
        <w:widowControl w:val="1"/>
      </w:pPr>
      <w:r>
        <w:t>Explicación del IGM (combinación ponderada de métricas normalizadas).</w:t>
      </w:r>
    </w:p>
    <w:p>
      <w:pPr>
        <w:pStyle w:val="ListBullet"/>
        <w:keepLines w:val="1"/>
        <w:widowControl w:val="1"/>
      </w:pPr>
      <w:r>
        <w:t>Gráfico de distribución por sector.</w:t>
      </w:r>
    </w:p>
    <w:p>
      <w:pPr>
        <w:pStyle w:val="Heading2"/>
        <w:keepNext/>
        <w:keepLines/>
      </w:pPr>
      <w:r>
        <w:rPr>
          <w:color w:val="0066CC"/>
        </w:rPr>
        <w:t>Diapositiva 7 – Cobertura ATT&amp;CK–D3FEND (G1)</w:t>
      </w:r>
    </w:p>
    <w:p>
      <w:pPr>
        <w:pStyle w:val="ListBullet"/>
        <w:keepLines w:val="1"/>
        <w:keepNext w:val="1"/>
        <w:widowControl w:val="1"/>
      </w:pPr>
      <w:r>
        <w:t>Gráfico: distribución de M1.1, M1.2, M1.3 por sector.</w:t>
      </w:r>
    </w:p>
    <w:p>
      <w:pPr>
        <w:pStyle w:val="ListBullet"/>
        <w:keepLines w:val="1"/>
        <w:widowControl w:val="1"/>
      </w:pPr>
      <w:r>
        <w:t>Comentario sobre lagunas críticas.[web:5][web:8]</w:t>
      </w:r>
    </w:p>
    <w:p>
      <w:pPr>
        <w:pStyle w:val="Heading2"/>
        <w:keepNext/>
        <w:keepLines/>
      </w:pPr>
      <w:r>
        <w:rPr>
          <w:color w:val="0066CC"/>
        </w:rPr>
        <w:t>Diapositiva 8 – Latencia y eficacia (G2–G3)</w:t>
      </w:r>
    </w:p>
    <w:p>
      <w:pPr>
        <w:pStyle w:val="ListBullet"/>
        <w:keepLines w:val="1"/>
        <w:keepNext w:val="1"/>
        <w:widowControl w:val="1"/>
      </w:pPr>
      <w:r>
        <w:t>Gráficos: M2.1, M2.2, M3.1.</w:t>
      </w:r>
    </w:p>
    <w:p>
      <w:pPr>
        <w:pStyle w:val="ListBullet"/>
        <w:keepLines w:val="1"/>
        <w:widowControl w:val="1"/>
      </w:pPr>
      <w:r>
        <w:t>Tendencias y brechas.[web:18][web:21]</w:t>
      </w:r>
    </w:p>
    <w:p>
      <w:pPr>
        <w:pStyle w:val="Heading2"/>
        <w:keepNext/>
        <w:keepLines/>
      </w:pPr>
      <w:r>
        <w:rPr>
          <w:color w:val="0066CC"/>
        </w:rPr>
        <w:t>Diapositiva 9 – Telemetría y sensores (G4)</w:t>
      </w:r>
    </w:p>
    <w:p>
      <w:pPr>
        <w:pStyle w:val="ListBullet"/>
        <w:keepLines w:val="1"/>
        <w:keepNext w:val="1"/>
        <w:widowControl w:val="1"/>
      </w:pPr>
      <w:r>
        <w:t>Gráfico: M4.1, M4.2, M4.4.</w:t>
      </w:r>
    </w:p>
    <w:p>
      <w:pPr>
        <w:pStyle w:val="ListBullet"/>
        <w:keepLines w:val="1"/>
        <w:widowControl w:val="1"/>
      </w:pPr>
      <w:r>
        <w:t>Mensaje clave: sin datos no hay D3FEND que valga.[web:1][web:19]</w:t>
      </w:r>
    </w:p>
    <w:p>
      <w:pPr>
        <w:pStyle w:val="Heading2"/>
        <w:keepNext/>
        <w:keepLines/>
      </w:pPr>
      <w:r>
        <w:rPr>
          <w:color w:val="0066CC"/>
        </w:rPr>
        <w:t>Diapositiva 10 – OT/ICS (G5)</w:t>
      </w:r>
    </w:p>
    <w:p>
      <w:pPr>
        <w:pStyle w:val="ListBullet"/>
        <w:keepLines w:val="1"/>
        <w:keepNext w:val="1"/>
        <w:widowControl w:val="1"/>
      </w:pPr>
      <w:r>
        <w:t>Gráficos: M5.1, M5.3.</w:t>
      </w:r>
    </w:p>
    <w:p>
      <w:pPr>
        <w:pStyle w:val="ListBullet"/>
        <w:keepLines w:val="1"/>
        <w:widowControl w:val="1"/>
      </w:pPr>
      <w:r>
        <w:t>Riesgos y avances en infraestructuras críticas.[web:5][web:20]</w:t>
      </w:r>
    </w:p>
    <w:p>
      <w:pPr>
        <w:pStyle w:val="Heading2"/>
        <w:keepNext/>
        <w:keepLines/>
      </w:pPr>
      <w:r>
        <w:rPr>
          <w:color w:val="0066CC"/>
        </w:rPr>
        <w:t>Diapositiva 11 – Evaluación PRAGMATIC</w:t>
      </w:r>
    </w:p>
    <w:p>
      <w:pPr>
        <w:pStyle w:val="ListBullet"/>
        <w:keepLines w:val="1"/>
        <w:keepNext w:val="1"/>
        <w:widowControl w:val="1"/>
      </w:pPr>
      <w:r>
        <w:t>Gráfico de radar o tabla: puntuaciones medias PRAGMATIC de las métricas seleccionadas.</w:t>
      </w:r>
    </w:p>
    <w:p>
      <w:pPr>
        <w:pStyle w:val="ListBullet"/>
        <w:keepLines w:val="1"/>
        <w:widowControl w:val="1"/>
      </w:pPr>
      <w:r>
        <w:t>Destacar métricas especialmente fuertes y débiles.[web:18]</w:t>
      </w:r>
    </w:p>
    <w:p>
      <w:pPr>
        <w:pStyle w:val="Heading2"/>
        <w:keepNext/>
        <w:keepLines/>
      </w:pPr>
      <w:r>
        <w:rPr>
          <w:color w:val="0066CC"/>
        </w:rPr>
        <w:t>Diapositiva 12 – ROI y priorización de inversiones</w:t>
      </w:r>
    </w:p>
    <w:p>
      <w:pPr>
        <w:pStyle w:val="ListBullet"/>
        <w:keepLines w:val="1"/>
        <w:keepNext w:val="1"/>
        <w:widowControl w:val="1"/>
      </w:pPr>
      <w:r>
        <w:t>Ejemplos de iniciativas con alto impacto en ∆IGM y ROI.</w:t>
      </w:r>
    </w:p>
    <w:p>
      <w:pPr>
        <w:pStyle w:val="ListBullet"/>
        <w:keepLines w:val="1"/>
        <w:widowControl w:val="1"/>
      </w:pPr>
      <w:r>
        <w:t>Argumento para decisiones presupuestarias.[web:5][web:18][web:21]</w:t>
      </w:r>
    </w:p>
    <w:p>
      <w:pPr>
        <w:pStyle w:val="Heading2"/>
        <w:keepNext/>
        <w:keepLines/>
      </w:pPr>
      <w:r>
        <w:rPr>
          <w:color w:val="0066CC"/>
        </w:rPr>
        <w:t>Diapositiva 13 – Recomendaciones</w:t>
      </w:r>
    </w:p>
    <w:p>
      <w:pPr>
        <w:pStyle w:val="ListBullet"/>
        <w:keepLines w:val="1"/>
        <w:keepNext w:val="1"/>
        <w:widowControl w:val="1"/>
      </w:pPr>
      <w:r>
        <w:t>Para organizaciones: 3–5 pasos accionables (mejorar cobertura, medir latencia, instrumentar OT, etc.).</w:t>
      </w:r>
    </w:p>
    <w:p>
      <w:pPr>
        <w:pStyle w:val="ListBullet"/>
        <w:keepLines w:val="1"/>
        <w:widowControl w:val="1"/>
      </w:pPr>
      <w:r>
        <w:t>Para reguladores: alineación de requisitos de reporte con métricas GQM.[web:25][web:26][web:27]</w:t>
      </w:r>
    </w:p>
    <w:p>
      <w:pPr>
        <w:pStyle w:val="Heading2"/>
        <w:keepNext/>
        <w:keepLines/>
      </w:pPr>
      <w:r>
        <w:rPr>
          <w:color w:val="0066CC"/>
        </w:rPr>
        <w:t>Diapositiva 14 – Próximos pasos</w:t>
      </w:r>
    </w:p>
    <w:p>
      <w:pPr>
        <w:pStyle w:val="ListBullet"/>
        <w:keepLines w:val="1"/>
        <w:keepNext w:val="1"/>
        <w:widowControl w:val="1"/>
      </w:pPr>
      <w:r>
        <w:t>Uso periódico de la encuesta.</w:t>
      </w:r>
    </w:p>
    <w:p>
      <w:pPr>
        <w:pStyle w:val="ListBullet"/>
        <w:keepLines w:val="1"/>
        <w:widowControl w:val="1"/>
      </w:pPr>
      <w:r>
        <w:t>Integración progresiva en marcos de supervisión.</w:t>
      </w:r>
    </w:p>
    <w:p>
      <w:pPr>
        <w:pStyle w:val="Heading2"/>
        <w:keepNext/>
        <w:keepLines/>
      </w:pPr>
      <w:r>
        <w:rPr>
          <w:color w:val="0066CC"/>
        </w:rPr>
        <w:t>Diapositiva 15 – Cierre</w:t>
      </w:r>
    </w:p>
    <w:p>
      <w:pPr>
        <w:pStyle w:val="ListBullet"/>
        <w:keepLines w:val="1"/>
        <w:keepNext w:val="1"/>
        <w:widowControl w:val="1"/>
      </w:pPr>
      <w:r>
        <w:t>Mensaje sobre la importancia de medir con intención.</w:t>
      </w:r>
    </w:p>
    <w:p>
      <w:pPr>
        <w:pStyle w:val="ListBullet"/>
        <w:keepLines w:val="1"/>
        <w:widowControl w:val="1"/>
      </w:pPr>
      <w:r>
        <w:t>Contacto.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