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(f) Plantilla de Reporte Ejecutivo en PowerPoint (estructura en Markdown)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"Estado de la adopción de MITRE D3FEND y métricas de ciberseguridad".</w:t>
      </w:r>
    </w:p>
    <w:p>
      <w:pPr>
        <w:pStyle w:val="ListBullet"/>
        <w:keepLines w:val="1"/>
        <w:keepNext w:val="1"/>
        <w:widowControl w:val="1"/>
      </w:pPr>
      <w:r>
        <w:t>Subtítulo: "Resultados de la encuesta a organizaciones esenciales e importantes".</w:t>
      </w:r>
    </w:p>
    <w:p>
      <w:pPr>
        <w:pStyle w:val="ListBullet"/>
        <w:keepLines w:val="1"/>
        <w:widowControl w:val="1"/>
      </w:pPr>
      <w:r>
        <w:t>Fecha y entidad responsable.</w:t>
      </w:r>
    </w:p>
    <w:p>
      <w:pPr>
        <w:pStyle w:val="Heading2"/>
        <w:keepNext/>
        <w:keepLines/>
      </w:pPr>
      <w:r>
        <w:rPr>
          <w:color w:val="0066CC"/>
        </w:rPr>
        <w:t>Diapositiva 2 – Contexto y objetivo</w:t>
      </w:r>
    </w:p>
    <w:p>
      <w:pPr>
        <w:pStyle w:val="ListBullet"/>
        <w:keepLines w:val="1"/>
        <w:keepNext w:val="1"/>
        <w:widowControl w:val="1"/>
      </w:pPr>
      <w:r>
        <w:t>Breve explicación de ATT&amp;CK y D3FEND como lenguajes de referencia.[web:1][web:3][web:5]</w:t>
      </w:r>
    </w:p>
    <w:p>
      <w:pPr>
        <w:pStyle w:val="ListBullet"/>
        <w:keepLines w:val="1"/>
        <w:widowControl w:val="1"/>
      </w:pPr>
      <w:r>
        <w:t>Objetivo: medir adopción, madurez y uso de métricas defensivas.</w:t>
      </w:r>
    </w:p>
    <w:p>
      <w:pPr>
        <w:pStyle w:val="Heading2"/>
        <w:keepNext/>
        <w:keepLines/>
      </w:pPr>
      <w:r>
        <w:rPr>
          <w:color w:val="0066CC"/>
        </w:rPr>
        <w:t>Diapositiva 3 – Metodología</w:t>
      </w:r>
    </w:p>
    <w:p>
      <w:pPr>
        <w:pStyle w:val="ListBullet"/>
        <w:keepLines w:val="1"/>
        <w:keepNext w:val="1"/>
        <w:widowControl w:val="1"/>
      </w:pPr>
      <w:r>
        <w:t>Población objetivo (sectores, tamaños, ámbitos geográficos).[web:25][web:26]</w:t>
      </w:r>
    </w:p>
    <w:p>
      <w:pPr>
        <w:pStyle w:val="ListBullet"/>
        <w:keepLines w:val="1"/>
        <w:keepNext w:val="1"/>
        <w:widowControl w:val="1"/>
      </w:pPr>
      <w:r>
        <w:t>Número de respuestas válidas.</w:t>
      </w:r>
    </w:p>
    <w:p>
      <w:pPr>
        <w:pStyle w:val="ListBullet"/>
        <w:keepLines w:val="1"/>
        <w:widowControl w:val="1"/>
      </w:pPr>
      <w:r>
        <w:t>Período de recogida de datos.</w:t>
      </w:r>
    </w:p>
    <w:p>
      <w:pPr>
        <w:pStyle w:val="Heading2"/>
        <w:keepNext/>
        <w:keepLines/>
      </w:pPr>
      <w:r>
        <w:rPr>
          <w:color w:val="0066CC"/>
        </w:rPr>
        <w:t>Diapositiva 4 – Perfil de los participantes</w:t>
      </w:r>
    </w:p>
    <w:p>
      <w:pPr>
        <w:pStyle w:val="ListBullet"/>
        <w:keepLines w:val="1"/>
        <w:keepNext w:val="1"/>
        <w:widowControl w:val="1"/>
      </w:pPr>
      <w:r>
        <w:t>Gráficos de barras: distribución por sector y tamaño.</w:t>
      </w:r>
    </w:p>
    <w:p>
      <w:pPr>
        <w:pStyle w:val="ListBullet"/>
        <w:keepLines w:val="1"/>
        <w:widowControl w:val="1"/>
      </w:pPr>
      <w:r>
        <w:t>Gráfico de tarta: roles de los respondentes.</w:t>
      </w:r>
    </w:p>
    <w:p>
      <w:pPr>
        <w:pStyle w:val="Heading2"/>
        <w:keepNext/>
        <w:keepLines/>
      </w:pPr>
      <w:r>
        <w:rPr>
          <w:color w:val="0066CC"/>
        </w:rPr>
        <w:t>Diapositiva 5 – Adopción de ATT&amp;CK y D3FEND</w:t>
      </w:r>
    </w:p>
    <w:p>
      <w:pPr>
        <w:pStyle w:val="ListBullet"/>
        <w:keepLines w:val="1"/>
        <w:keepNext w:val="1"/>
        <w:widowControl w:val="1"/>
      </w:pPr>
      <w:r>
        <w:t>Porcentaje de organizaciones que utilizan ATT&amp;CK.[web:14]</w:t>
      </w:r>
    </w:p>
    <w:p>
      <w:pPr>
        <w:pStyle w:val="ListBullet"/>
        <w:keepLines w:val="1"/>
        <w:keepNext w:val="1"/>
        <w:widowControl w:val="1"/>
      </w:pPr>
      <w:r>
        <w:t>Porcentaje que utilizan D3FEND explícitamente.[web:5][web:14]</w:t>
      </w:r>
    </w:p>
    <w:p>
      <w:pPr>
        <w:pStyle w:val="ListBullet"/>
        <w:keepLines w:val="1"/>
        <w:widowControl w:val="1"/>
      </w:pPr>
      <w:r>
        <w:t>Comentario sobre brecha entre conocimiento y uso.</w:t>
      </w:r>
    </w:p>
    <w:p>
      <w:pPr>
        <w:pStyle w:val="Heading2"/>
        <w:keepNext/>
        <w:keepLines/>
      </w:pPr>
      <w:r>
        <w:rPr>
          <w:color w:val="0066CC"/>
        </w:rPr>
        <w:t>Diapositiva 6 – Uso de D3FEND CAD y modelado</w:t>
      </w:r>
    </w:p>
    <w:p>
      <w:pPr>
        <w:pStyle w:val="ListBullet"/>
        <w:keepLines w:val="1"/>
        <w:keepNext w:val="1"/>
        <w:widowControl w:val="1"/>
      </w:pPr>
      <w:r>
        <w:t>Porcentaje de uso de CAD.[web:19][web:22]</w:t>
      </w:r>
    </w:p>
    <w:p>
      <w:pPr>
        <w:pStyle w:val="ListBullet"/>
        <w:keepLines w:val="1"/>
        <w:widowControl w:val="1"/>
      </w:pPr>
      <w:r>
        <w:t>Ejemplos de casos de uso (arquitectura, análisis de brechas, OT).[web:5][web:29]</w:t>
      </w:r>
    </w:p>
    <w:p>
      <w:pPr>
        <w:pStyle w:val="Heading2"/>
        <w:keepNext/>
        <w:keepLines/>
      </w:pPr>
      <w:r>
        <w:rPr>
          <w:color w:val="0066CC"/>
        </w:rPr>
        <w:t>Diapositiva 7 – Cobertura ATT&amp;CK–D3FEND</w:t>
      </w:r>
    </w:p>
    <w:p>
      <w:pPr>
        <w:pStyle w:val="ListBullet"/>
        <w:keepLines w:val="1"/>
        <w:keepNext w:val="1"/>
        <w:widowControl w:val="1"/>
      </w:pPr>
      <w:r>
        <w:t>Gráfico de barras: nivel de cobertura declarado (por rangos).</w:t>
      </w:r>
    </w:p>
    <w:p>
      <w:pPr>
        <w:pStyle w:val="ListBullet"/>
        <w:keepLines w:val="1"/>
        <w:widowControl w:val="1"/>
      </w:pPr>
      <w:r>
        <w:t>Mapa de calor (opcional) por sector.</w:t>
      </w:r>
    </w:p>
    <w:p>
      <w:pPr>
        <w:pStyle w:val="Heading2"/>
        <w:keepNext/>
        <w:keepLines/>
      </w:pPr>
      <w:r>
        <w:rPr>
          <w:color w:val="0066CC"/>
        </w:rPr>
        <w:t>Diapositiva 8 – Métricas operativas</w:t>
      </w:r>
    </w:p>
    <w:p>
      <w:pPr>
        <w:pStyle w:val="ListBullet"/>
        <w:keepLines w:val="1"/>
        <w:keepNext w:val="1"/>
        <w:widowControl w:val="1"/>
      </w:pPr>
      <w:r>
        <w:t>Porcentaje de organizaciones que miden MTTD, MTTR, eficacia de mitigaciones, cobertura de telemetría.[web:18][web:21]</w:t>
      </w:r>
    </w:p>
    <w:p>
      <w:pPr>
        <w:pStyle w:val="ListBullet"/>
        <w:keepLines w:val="1"/>
        <w:widowControl w:val="1"/>
      </w:pPr>
      <w:r>
        <w:t>Breve comentario sobre tendencias.</w:t>
      </w:r>
    </w:p>
    <w:p>
      <w:pPr>
        <w:pStyle w:val="Heading2"/>
        <w:keepNext/>
        <w:keepLines/>
      </w:pPr>
      <w:r>
        <w:rPr>
          <w:color w:val="0066CC"/>
        </w:rPr>
        <w:t>Diapositiva 9 – OT / ICS</w:t>
      </w:r>
    </w:p>
    <w:p>
      <w:pPr>
        <w:pStyle w:val="ListBullet"/>
        <w:keepLines w:val="1"/>
        <w:keepNext w:val="1"/>
        <w:widowControl w:val="1"/>
      </w:pPr>
      <w:r>
        <w:t>Porcentaje de organizaciones con OT.</w:t>
      </w:r>
    </w:p>
    <w:p>
      <w:pPr>
        <w:pStyle w:val="ListBullet"/>
        <w:keepLines w:val="1"/>
        <w:widowControl w:val="1"/>
      </w:pPr>
      <w:r>
        <w:t>Nivel de modelado y métricas específicas OT.[web:5]</w:t>
      </w:r>
    </w:p>
    <w:p>
      <w:pPr>
        <w:pStyle w:val="Heading2"/>
        <w:keepNext/>
        <w:keepLines/>
      </w:pPr>
      <w:r>
        <w:rPr>
          <w:color w:val="0066CC"/>
        </w:rPr>
        <w:t>Diapositiva 10 – Integración con cumplimiento normativo</w:t>
      </w:r>
    </w:p>
    <w:p>
      <w:pPr>
        <w:pStyle w:val="ListBullet"/>
        <w:keepLines w:val="1"/>
        <w:keepNext w:val="1"/>
        <w:widowControl w:val="1"/>
      </w:pPr>
      <w:r>
        <w:t>Grado de mapeo a NIS2, NIST, ISO.[web:5][web:25][web:26]</w:t>
      </w:r>
    </w:p>
    <w:p>
      <w:pPr>
        <w:pStyle w:val="ListBullet"/>
        <w:keepLines w:val="1"/>
        <w:widowControl w:val="1"/>
      </w:pPr>
      <w:r>
        <w:t>Uso de métricas D3FEND como evidencia en auditorías.</w:t>
      </w:r>
    </w:p>
    <w:p>
      <w:pPr>
        <w:pStyle w:val="Heading2"/>
        <w:keepNext/>
        <w:keepLines/>
      </w:pPr>
      <w:r>
        <w:rPr>
          <w:color w:val="0066CC"/>
        </w:rPr>
        <w:t>Diapositiva 11 – Índice Global de Madurez (IGM)</w:t>
      </w:r>
    </w:p>
    <w:p>
      <w:pPr>
        <w:pStyle w:val="ListBullet"/>
        <w:keepLines w:val="1"/>
        <w:keepNext w:val="1"/>
        <w:widowControl w:val="1"/>
      </w:pPr>
      <w:r>
        <w:t>Distribución del IGM (histograma o caja y bigotes).</w:t>
      </w:r>
    </w:p>
    <w:p>
      <w:pPr>
        <w:pStyle w:val="ListBullet"/>
        <w:keepLines w:val="1"/>
        <w:widowControl w:val="1"/>
      </w:pPr>
      <w:r>
        <w:t>Comparación entre sectores.</w:t>
      </w:r>
    </w:p>
    <w:p>
      <w:pPr>
        <w:pStyle w:val="Heading2"/>
        <w:keepNext/>
        <w:keepLines/>
      </w:pPr>
      <w:r>
        <w:rPr>
          <w:color w:val="0066CC"/>
        </w:rPr>
        <w:t>Diapositiva 12 – ROI y decisiones de inversión</w:t>
      </w:r>
    </w:p>
    <w:p>
      <w:pPr>
        <w:pStyle w:val="ListBullet"/>
        <w:keepLines w:val="1"/>
        <w:keepNext w:val="1"/>
        <w:widowControl w:val="1"/>
      </w:pPr>
      <w:r>
        <w:t>Porcentaje de organizaciones que calculan ROI de seguridad.</w:t>
      </w:r>
    </w:p>
    <w:p>
      <w:pPr>
        <w:pStyle w:val="ListBullet"/>
        <w:keepLines w:val="1"/>
        <w:widowControl w:val="1"/>
      </w:pPr>
      <w:r>
        <w:t>Ejemplos de beneficios medidos (reducción de tiempos, incidentes evitados).[web:5][web:18][web:21]</w:t>
      </w:r>
    </w:p>
    <w:p>
      <w:pPr>
        <w:pStyle w:val="Heading2"/>
        <w:keepNext/>
        <w:keepLines/>
      </w:pPr>
      <w:r>
        <w:rPr>
          <w:color w:val="0066CC"/>
        </w:rPr>
        <w:t>Diapositiva 13 – Principales brechas y barreras</w:t>
      </w:r>
    </w:p>
    <w:p>
      <w:pPr>
        <w:pStyle w:val="ListBullet"/>
        <w:keepLines w:val="1"/>
        <w:keepNext w:val="1"/>
        <w:widowControl w:val="1"/>
      </w:pPr>
      <w:r>
        <w:t>Top 5 barreras a la adopción de D3FEND.</w:t>
      </w:r>
    </w:p>
    <w:p>
      <w:pPr>
        <w:pStyle w:val="ListBullet"/>
        <w:keepLines w:val="1"/>
        <w:widowControl w:val="1"/>
      </w:pPr>
      <w:r>
        <w:t>Comentarios cualitativos significativos.</w:t>
      </w:r>
    </w:p>
    <w:p>
      <w:pPr>
        <w:pStyle w:val="Heading2"/>
        <w:keepNext/>
        <w:keepLines/>
      </w:pPr>
      <w:r>
        <w:rPr>
          <w:color w:val="0066CC"/>
        </w:rPr>
        <w:t>Diapositiva 14 – Recomendaciones</w:t>
      </w:r>
    </w:p>
    <w:p>
      <w:pPr>
        <w:pStyle w:val="ListBullet"/>
        <w:keepLines w:val="1"/>
        <w:keepNext w:val="1"/>
        <w:widowControl w:val="1"/>
      </w:pPr>
      <w:r>
        <w:t>Acciones sugeridas a corto, medio y largo plazo para organizaciones.</w:t>
      </w:r>
    </w:p>
    <w:p>
      <w:pPr>
        <w:pStyle w:val="ListBullet"/>
        <w:keepLines w:val="1"/>
        <w:widowControl w:val="1"/>
      </w:pPr>
      <w:r>
        <w:t>Propuestas para reguladores y organismos sectoriales.</w:t>
      </w:r>
    </w:p>
    <w:p>
      <w:pPr>
        <w:pStyle w:val="Heading2"/>
        <w:keepNext/>
        <w:keepLines/>
      </w:pPr>
      <w:r>
        <w:rPr>
          <w:color w:val="0066CC"/>
        </w:rPr>
        <w:t>Diapositiva 15 – Cierre</w:t>
      </w:r>
    </w:p>
    <w:p>
      <w:pPr>
        <w:pStyle w:val="ListBullet"/>
        <w:keepLines w:val="1"/>
        <w:keepNext w:val="1"/>
        <w:widowControl w:val="1"/>
      </w:pPr>
      <w:r>
        <w:t>Mensaje final sobre la importancia de medir lo que importa.</w:t>
      </w:r>
    </w:p>
    <w:p>
      <w:pPr>
        <w:pStyle w:val="ListBullet"/>
        <w:keepLines w:val="1"/>
        <w:widowControl w:val="1"/>
      </w:pPr>
      <w:r>
        <w:t>Contacto para ampliación de información.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