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(g) README del Kit de Encuesta MITRE D3FEND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Este kit contiene los siguientes componentes, todos en formato Markdown para facilitar su adaptación:</w:t>
      </w:r>
    </w:p>
    <w:p>
      <w:pPr>
        <w:pStyle w:val="ListBullet"/>
        <w:keepLines w:val="1"/>
        <w:keepNext w:val="1"/>
        <w:widowControl w:val="1"/>
      </w:pPr>
      <w:r>
        <w:t>(a) Modelo de encuesta integral.</w:t>
      </w:r>
    </w:p>
    <w:p>
      <w:pPr>
        <w:pStyle w:val="ListBullet"/>
        <w:keepLines w:val="1"/>
        <w:keepNext w:val="1"/>
        <w:widowControl w:val="1"/>
      </w:pPr>
      <w:r>
        <w:t>(b) Guía metodológica detallada.</w:t>
      </w:r>
    </w:p>
    <w:p>
      <w:pPr>
        <w:pStyle w:val="ListBullet"/>
        <w:keepLines w:val="1"/>
        <w:keepNext w:val="1"/>
        <w:widowControl w:val="1"/>
      </w:pPr>
      <w:r>
        <w:t>(c) Narrativa explicativa.</w:t>
      </w:r>
    </w:p>
    <w:p>
      <w:pPr>
        <w:pStyle w:val="ListBullet"/>
        <w:keepLines w:val="1"/>
        <w:keepNext w:val="1"/>
        <w:widowControl w:val="1"/>
      </w:pPr>
      <w:r>
        <w:t>(d) Mapeo de preguntas a requisitos normativos.</w:t>
      </w:r>
    </w:p>
    <w:p>
      <w:pPr>
        <w:pStyle w:val="ListBullet"/>
        <w:keepLines w:val="1"/>
        <w:keepNext w:val="1"/>
        <w:widowControl w:val="1"/>
      </w:pPr>
      <w:r>
        <w:t>(e) Plantilla de Excel para cálculo de IGM y ROI (descripción estructurada).</w:t>
      </w:r>
    </w:p>
    <w:p>
      <w:pPr>
        <w:pStyle w:val="ListBullet"/>
        <w:keepLines w:val="1"/>
        <w:widowControl w:val="1"/>
      </w:pPr>
      <w:r>
        <w:t>(f) Plantilla de reporte ejecutivo en PowerPoint.</w:t>
      </w:r>
    </w:p>
    <w:p>
      <w:pPr>
        <w:pStyle w:val="Heading2"/>
        <w:keepNext/>
        <w:keepLines/>
      </w:pPr>
      <w:r>
        <w:rPr>
          <w:color w:val="0066CC"/>
        </w:rPr>
        <w:t>2. Público objetivo</w:t>
      </w:r>
    </w:p>
    <w:p>
      <w:pPr>
        <w:pStyle w:val="ListBullet"/>
        <w:keepLines w:val="1"/>
        <w:keepNext w:val="1"/>
        <w:widowControl w:val="1"/>
      </w:pPr>
      <w:r>
        <w:t>Responsables de ciberseguridad (CISOs, responsables de SOC/CSIRT).</w:t>
      </w:r>
    </w:p>
    <w:p>
      <w:pPr>
        <w:pStyle w:val="ListBullet"/>
        <w:keepLines w:val="1"/>
        <w:keepNext w:val="1"/>
        <w:widowControl w:val="1"/>
      </w:pPr>
      <w:r>
        <w:t>Responsables de continuidad, resiliencia y riesgo.</w:t>
      </w:r>
    </w:p>
    <w:p>
      <w:pPr>
        <w:pStyle w:val="ListBullet"/>
        <w:keepLines w:val="1"/>
        <w:keepNext w:val="1"/>
        <w:widowControl w:val="1"/>
      </w:pPr>
      <w:r>
        <w:t>Organismos reguladores y supervisores sectoriales.</w:t>
      </w:r>
    </w:p>
    <w:p>
      <w:pPr>
        <w:pStyle w:val="ListBullet"/>
        <w:keepLines w:val="1"/>
        <w:widowControl w:val="1"/>
      </w:pPr>
      <w:r>
        <w:t>Equipos de investigación y think tanks especializados en ciberseguridad.</w:t>
      </w:r>
    </w:p>
    <w:p>
      <w:pPr>
        <w:pStyle w:val="Heading2"/>
        <w:keepNext/>
        <w:keepLines/>
      </w:pPr>
      <w:r>
        <w:rPr>
          <w:color w:val="0066CC"/>
        </w:rPr>
        <w:t>3. Cómo utilizar el kit</w:t>
      </w:r>
    </w:p>
    <w:p>
      <w:pPr>
        <w:pStyle w:val="ListNumber"/>
        <w:keepLines w:val="1"/>
        <w:keepNext w:val="1"/>
        <w:widowControl w:val="1"/>
      </w:pPr>
      <w:r>
        <w:t>Adaptar el modelo de encuesta a la realidad sectorial o nacional (terminología, referencias regulatorias).[web:25][web:26][web:27]</w:t>
      </w:r>
    </w:p>
    <w:p>
      <w:pPr>
        <w:pStyle w:val="ListNumber"/>
        <w:keepLines w:val="1"/>
        <w:keepNext w:val="1"/>
        <w:widowControl w:val="1"/>
      </w:pPr>
      <w:r>
        <w:t>Implementar la encuesta en la herramienta elegida (plataforma online, formulario interno, etc.).</w:t>
      </w:r>
    </w:p>
    <w:p>
      <w:pPr>
        <w:pStyle w:val="ListNumber"/>
        <w:keepLines w:val="1"/>
        <w:keepNext w:val="1"/>
        <w:widowControl w:val="1"/>
      </w:pPr>
      <w:r>
        <w:t>Utilizar la guía metodológica para definir el plan de análisis y segmentación.</w:t>
      </w:r>
    </w:p>
    <w:p>
      <w:pPr>
        <w:pStyle w:val="ListNumber"/>
        <w:keepLines w:val="1"/>
        <w:keepNext w:val="1"/>
        <w:widowControl w:val="1"/>
      </w:pPr>
      <w:r>
        <w:t>Configurar el libro de Excel siguiendo la plantilla descrita, para calcular el IGM y estimar el ROI.[web:18][web:21]</w:t>
      </w:r>
    </w:p>
    <w:p>
      <w:pPr>
        <w:pStyle w:val="ListNumber"/>
        <w:keepLines w:val="1"/>
        <w:widowControl w:val="1"/>
      </w:pPr>
      <w:r>
        <w:t>Emplear la plantilla de reporte ejecutivo para comunicar los resultados a alta dirección, reguladores o foros sectoriales.[web:5]</w:t>
      </w:r>
    </w:p>
    <w:p>
      <w:pPr>
        <w:pStyle w:val="Heading2"/>
        <w:keepNext/>
        <w:keepLines/>
      </w:pPr>
      <w:r>
        <w:rPr>
          <w:color w:val="0066CC"/>
        </w:rPr>
        <w:t>4. Recomendaciones de implementación</w:t>
      </w:r>
    </w:p>
    <w:p>
      <w:pPr>
        <w:pStyle w:val="ListBullet"/>
        <w:keepLines w:val="1"/>
        <w:keepNext w:val="1"/>
        <w:widowControl w:val="1"/>
      </w:pPr>
      <w:r>
        <w:t>Asegurar la confidencialidad y anonimato de las respuestas.</w:t>
      </w:r>
    </w:p>
    <w:p>
      <w:pPr>
        <w:pStyle w:val="ListBullet"/>
        <w:keepLines w:val="1"/>
        <w:keepNext w:val="1"/>
        <w:widowControl w:val="1"/>
      </w:pPr>
      <w:r>
        <w:t>Comunicar con transparencia el propósito del ejercicio y el uso previsto de los resultados.</w:t>
      </w:r>
    </w:p>
    <w:p>
      <w:pPr>
        <w:pStyle w:val="ListBullet"/>
        <w:keepLines w:val="1"/>
        <w:keepNext w:val="1"/>
        <w:widowControl w:val="1"/>
      </w:pPr>
      <w:r>
        <w:t>Programar la encuesta con una periodicidad razonable (por ejemplo, anual) para seguir la evolución.</w:t>
      </w:r>
    </w:p>
    <w:p>
      <w:pPr>
        <w:pStyle w:val="ListBullet"/>
        <w:keepLines w:val="1"/>
        <w:widowControl w:val="1"/>
      </w:pPr>
      <w:r>
        <w:t>Complementar la encuesta con ejemplos prácticos de modelado D3FEND CAD en talleres o ejercicios.[web:19][web:29]</w:t>
      </w:r>
    </w:p>
    <w:p>
      <w:pPr>
        <w:pStyle w:val="Heading2"/>
        <w:keepNext/>
        <w:keepLines/>
      </w:pPr>
      <w:r>
        <w:rPr>
          <w:color w:val="0066CC"/>
        </w:rPr>
        <w:t>5. Licencia y adaptación</w:t>
      </w:r>
    </w:p>
    <w:p>
      <w:r>
        <w:t>El kit está diseñado para ser adaptado, extendido o recortado sin remordimientos, siempre que se mantenga el espíritu original: utilizar D3FEND y ATT&amp;CK como lenguajes comunes para medir, con cierta precisión, qué sabemos defender y qué seguimos dejando al azar.[web:1][web:3][web:5]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