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9FD0" w14:textId="77777777" w:rsidR="00A92797" w:rsidRDefault="00000000">
      <w:pPr>
        <w:pStyle w:val="Ttulo1"/>
      </w:pPr>
      <w:r>
        <w:rPr>
          <w:color w:val="003366"/>
        </w:rPr>
        <w:t>INFORME ADAM: INDICADORES Y MÉTRICAS DE CIBERSEGURIDAD EN ESPAÑA</w:t>
      </w:r>
    </w:p>
    <w:p w14:paraId="5248E9E5" w14:textId="77777777" w:rsidR="00A92797" w:rsidRDefault="00000000">
      <w:pPr>
        <w:pStyle w:val="Ttulo2"/>
      </w:pPr>
      <w:r>
        <w:rPr>
          <w:color w:val="0066CC"/>
        </w:rPr>
        <w:t>Análisis Comparativo de Riesgos Aplicados (2024-2025) con Perspectiva Global</w:t>
      </w:r>
    </w:p>
    <w:p w14:paraId="5241CF6E" w14:textId="77777777" w:rsidR="00A92797" w:rsidRDefault="00000000">
      <w:pPr>
        <w:pStyle w:val="Ttulo2"/>
      </w:pPr>
      <w:r>
        <w:rPr>
          <w:color w:val="0066CC"/>
        </w:rPr>
        <w:t>RESUMEN EJECUTIVO</w:t>
      </w:r>
    </w:p>
    <w:p w14:paraId="41BF959D" w14:textId="77777777" w:rsidR="00A92797" w:rsidRDefault="00000000">
      <w:r>
        <w:rPr>
          <w:b/>
        </w:rPr>
        <w:t>Consorcio de Científicos de Datos y Estrategas de Ciberseguridad</w:t>
      </w:r>
    </w:p>
    <w:p w14:paraId="6DDB7C07" w14:textId="77777777" w:rsidR="00A92797" w:rsidRDefault="00000000">
      <w:r>
        <w:t>En el período 2024-2025, España experimenta un aumento sostenido de ciberamenazas y vulnerabilidades con proyecciones de riesgo crítico. Este informe sintetiza indicadores clave de ciberseguridad nacional dentro de un contexto regulatorio europeo de transformación normativa (NIS2, Ley de Ciberresiliencia) y amenazas patrocinadas por estados de sofisticación creciente.</w:t>
      </w:r>
    </w:p>
    <w:p w14:paraId="18320A23" w14:textId="77777777" w:rsidR="00A92797" w:rsidRDefault="00000000">
      <w:r>
        <w:rPr>
          <w:b/>
        </w:rPr>
        <w:t>Hallazgos Críticos:</w:t>
      </w:r>
      <w:r>
        <w:br/>
        <w:t xml:space="preserve">- España gestionó </w:t>
      </w:r>
      <w:r>
        <w:rPr>
          <w:b/>
        </w:rPr>
        <w:t>97.348 incidentes cibernéticos en 2024</w:t>
      </w:r>
      <w:r>
        <w:t xml:space="preserve"> (+16,6% interanual)</w:t>
      </w:r>
      <w:r>
        <w:br/>
        <w:t xml:space="preserve">- </w:t>
      </w:r>
      <w:r>
        <w:rPr>
          <w:b/>
        </w:rPr>
        <w:t>248,1 millones de cuentas vulneradas históricamente</w:t>
      </w:r>
      <w:r>
        <w:t xml:space="preserve"> (5º país global; 51 por 1.000 habitantes)</w:t>
      </w:r>
      <w:r>
        <w:br/>
        <w:t xml:space="preserve">- Riesgo de ataque exitoso a infraestructura crítica: </w:t>
      </w:r>
      <w:r>
        <w:rPr>
          <w:b/>
        </w:rPr>
        <w:t>&gt;60% en 5 años</w:t>
      </w:r>
      <w:r>
        <w:br/>
        <w:t xml:space="preserve">- Madurez de ciberseguridad empresarial: </w:t>
      </w:r>
      <w:r>
        <w:rPr>
          <w:b/>
        </w:rPr>
        <w:t>desigual</w:t>
      </w:r>
      <w:r>
        <w:t>, con carencias en respuesta a incidentes e ISO 27001</w:t>
      </w:r>
      <w:r>
        <w:br/>
        <w:t xml:space="preserve">- Transposición NIS2 en España: </w:t>
      </w:r>
      <w:r>
        <w:rPr>
          <w:b/>
        </w:rPr>
        <w:t>aún pendiente</w:t>
      </w:r>
      <w:r>
        <w:t xml:space="preserve"> (sin fecha clara a mayo 2025)</w:t>
      </w:r>
      <w:r>
        <w:br/>
        <w:t>- Marco regulatorio: Ley de Ciberresiliencia en vigor (10 dic 2024); aplicación total 11 dic 2027</w:t>
      </w:r>
    </w:p>
    <w:p w14:paraId="52BBA247" w14:textId="77777777" w:rsidR="00A92797" w:rsidRDefault="00000000">
      <w:pPr>
        <w:pStyle w:val="Ttulo2"/>
      </w:pPr>
      <w:r>
        <w:rPr>
          <w:color w:val="0066CC"/>
        </w:rPr>
        <w:t>1. INDICADORES NACIONALES DE CIBERSEGURIDAD ESPAÑA (2024-2025)</w:t>
      </w:r>
    </w:p>
    <w:p w14:paraId="034D552A" w14:textId="77777777" w:rsidR="00A92797" w:rsidRDefault="00000000">
      <w:pPr>
        <w:pStyle w:val="Ttulo3"/>
      </w:pPr>
      <w:r>
        <w:t>1.1 Volumen de Incidentes y Detecciones</w:t>
      </w:r>
    </w:p>
    <w:p w14:paraId="48C8D7CA" w14:textId="77777777" w:rsidR="00A92797" w:rsidRDefault="00000000">
      <w:r>
        <w:t>El Instituto Nacional de Ciberseguridad (INCIBE), principal autoridad de respuesta a incidentes en España, reportó en 2024:</w:t>
      </w:r>
    </w:p>
    <w:tbl>
      <w:tblPr>
        <w:tblStyle w:val="Cuadrculaclara-nfasis1"/>
        <w:tblW w:w="0" w:type="auto"/>
        <w:tblLook w:val="04A0" w:firstRow="1" w:lastRow="0" w:firstColumn="1" w:lastColumn="0" w:noHBand="0" w:noVBand="1"/>
      </w:tblPr>
      <w:tblGrid>
        <w:gridCol w:w="2337"/>
        <w:gridCol w:w="2334"/>
        <w:gridCol w:w="2334"/>
        <w:gridCol w:w="2335"/>
      </w:tblGrid>
      <w:tr w:rsidR="00A92797" w14:paraId="0B95A039"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5C0B4EAE" w14:textId="77777777" w:rsidR="00A92797" w:rsidRDefault="00000000">
            <w:pPr>
              <w:keepNext/>
              <w:keepLines/>
            </w:pPr>
            <w:r>
              <w:rPr>
                <w:color w:val="FFFFFF"/>
              </w:rPr>
              <w:t>Métrica</w:t>
            </w:r>
          </w:p>
        </w:tc>
        <w:tc>
          <w:tcPr>
            <w:tcW w:w="2340" w:type="dxa"/>
            <w:shd w:val="clear" w:color="auto" w:fill="0033CC"/>
          </w:tcPr>
          <w:p w14:paraId="38D64214"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2024</w:t>
            </w:r>
          </w:p>
        </w:tc>
        <w:tc>
          <w:tcPr>
            <w:tcW w:w="2340" w:type="dxa"/>
            <w:shd w:val="clear" w:color="auto" w:fill="0033CC"/>
          </w:tcPr>
          <w:p w14:paraId="0EB1BD14"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2023</w:t>
            </w:r>
          </w:p>
        </w:tc>
        <w:tc>
          <w:tcPr>
            <w:tcW w:w="2340" w:type="dxa"/>
            <w:shd w:val="clear" w:color="auto" w:fill="0033CC"/>
          </w:tcPr>
          <w:p w14:paraId="53AF6A80"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Variación</w:t>
            </w:r>
          </w:p>
        </w:tc>
      </w:tr>
      <w:tr w:rsidR="00A92797" w14:paraId="1B2B3C3B"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6305785" w14:textId="77777777" w:rsidR="00A92797" w:rsidRDefault="00000000">
            <w:pPr>
              <w:keepNext/>
              <w:keepLines/>
            </w:pPr>
            <w:r>
              <w:t>Incidentes gestionados</w:t>
            </w:r>
          </w:p>
        </w:tc>
        <w:tc>
          <w:tcPr>
            <w:tcW w:w="2340" w:type="dxa"/>
          </w:tcPr>
          <w:p w14:paraId="079A2E43"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97.348</w:t>
            </w:r>
          </w:p>
        </w:tc>
        <w:tc>
          <w:tcPr>
            <w:tcW w:w="2340" w:type="dxa"/>
          </w:tcPr>
          <w:p w14:paraId="40ED6282"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83.517</w:t>
            </w:r>
          </w:p>
        </w:tc>
        <w:tc>
          <w:tcPr>
            <w:tcW w:w="2340" w:type="dxa"/>
          </w:tcPr>
          <w:p w14:paraId="6DE8E878"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+16,6%</w:t>
            </w:r>
          </w:p>
        </w:tc>
      </w:tr>
      <w:tr w:rsidR="00A92797" w14:paraId="27C4D20E"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4B267FE" w14:textId="77777777" w:rsidR="00A92797" w:rsidRDefault="00000000">
            <w:pPr>
              <w:keepNext/>
              <w:keepLines/>
            </w:pPr>
            <w:r>
              <w:t>Ciudadanía afectada</w:t>
            </w:r>
          </w:p>
        </w:tc>
        <w:tc>
          <w:tcPr>
            <w:tcW w:w="2340" w:type="dxa"/>
          </w:tcPr>
          <w:p w14:paraId="2B4C5CD5"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65.808 (67,6%)</w:t>
            </w:r>
          </w:p>
        </w:tc>
        <w:tc>
          <w:tcPr>
            <w:tcW w:w="2340" w:type="dxa"/>
          </w:tcPr>
          <w:p w14:paraId="2B921DE3"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~56.600</w:t>
            </w:r>
          </w:p>
        </w:tc>
        <w:tc>
          <w:tcPr>
            <w:tcW w:w="2340" w:type="dxa"/>
          </w:tcPr>
          <w:p w14:paraId="1F916462"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+16,3%</w:t>
            </w:r>
          </w:p>
        </w:tc>
      </w:tr>
      <w:tr w:rsidR="00A92797" w14:paraId="785238D6"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4BB1D61" w14:textId="77777777" w:rsidR="00A92797" w:rsidRDefault="00000000">
            <w:pPr>
              <w:keepNext/>
              <w:keepLines/>
            </w:pPr>
            <w:r>
              <w:t>Empresas afectadas</w:t>
            </w:r>
          </w:p>
        </w:tc>
        <w:tc>
          <w:tcPr>
            <w:tcW w:w="2340" w:type="dxa"/>
          </w:tcPr>
          <w:p w14:paraId="5962F837"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31.540 (32,4%)</w:t>
            </w:r>
          </w:p>
        </w:tc>
        <w:tc>
          <w:tcPr>
            <w:tcW w:w="2340" w:type="dxa"/>
          </w:tcPr>
          <w:p w14:paraId="44D937FD"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~26.917</w:t>
            </w:r>
          </w:p>
        </w:tc>
        <w:tc>
          <w:tcPr>
            <w:tcW w:w="2340" w:type="dxa"/>
          </w:tcPr>
          <w:p w14:paraId="5C45AEDD"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+17,2%</w:t>
            </w:r>
          </w:p>
        </w:tc>
      </w:tr>
      <w:tr w:rsidR="00A92797" w14:paraId="097BD875"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55B60CF" w14:textId="77777777" w:rsidR="00A92797" w:rsidRDefault="00000000">
            <w:pPr>
              <w:keepNext/>
              <w:keepLines/>
            </w:pPr>
            <w:r>
              <w:t>Sistemas vulnerables detectados</w:t>
            </w:r>
          </w:p>
        </w:tc>
        <w:tc>
          <w:tcPr>
            <w:tcW w:w="2340" w:type="dxa"/>
          </w:tcPr>
          <w:p w14:paraId="1D9D8A71"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183.851</w:t>
            </w:r>
          </w:p>
        </w:tc>
        <w:tc>
          <w:tcPr>
            <w:tcW w:w="2340" w:type="dxa"/>
          </w:tcPr>
          <w:p w14:paraId="3FD4CF17"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N/A</w:t>
            </w:r>
          </w:p>
        </w:tc>
        <w:tc>
          <w:tcPr>
            <w:tcW w:w="2340" w:type="dxa"/>
          </w:tcPr>
          <w:p w14:paraId="62198E7A"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Proactivo</w:t>
            </w:r>
          </w:p>
        </w:tc>
      </w:tr>
      <w:tr w:rsidR="00A92797" w14:paraId="792F1394"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F2BB6D3" w14:textId="77777777" w:rsidR="00A92797" w:rsidRDefault="00000000">
            <w:pPr>
              <w:keepLines/>
            </w:pPr>
            <w:r>
              <w:t>Consultas 017 (Ayuda Ciberseguridad)</w:t>
            </w:r>
          </w:p>
        </w:tc>
        <w:tc>
          <w:tcPr>
            <w:tcW w:w="2340" w:type="dxa"/>
          </w:tcPr>
          <w:p w14:paraId="7B11B0F0"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98.546</w:t>
            </w:r>
          </w:p>
        </w:tc>
        <w:tc>
          <w:tcPr>
            <w:tcW w:w="2340" w:type="dxa"/>
          </w:tcPr>
          <w:p w14:paraId="70BDE3CA"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80.653</w:t>
            </w:r>
          </w:p>
        </w:tc>
        <w:tc>
          <w:tcPr>
            <w:tcW w:w="2340" w:type="dxa"/>
          </w:tcPr>
          <w:p w14:paraId="3FD8BF48"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+21,8%</w:t>
            </w:r>
          </w:p>
        </w:tc>
      </w:tr>
    </w:tbl>
    <w:p w14:paraId="1E0F2096" w14:textId="77777777" w:rsidR="00A92797" w:rsidRDefault="00A92797"/>
    <w:p w14:paraId="4561CBDF" w14:textId="77777777" w:rsidR="00A92797" w:rsidRDefault="00000000">
      <w:r>
        <w:rPr>
          <w:b/>
        </w:rPr>
        <w:t>Análisis:</w:t>
      </w:r>
      <w:r>
        <w:t xml:space="preserve"> El incremento consistente de incidentes refleja tanto una mayor superficie de ataque como creciente sofisticación de amenazas. La detección proactiva de 183.851 sistemas vulnerables indica capacidad mejorada de vigilancia defensiva, aunque aún represente una fracción del ecosistema digital español.</w:t>
      </w:r>
    </w:p>
    <w:p w14:paraId="53D6F863" w14:textId="77777777" w:rsidR="00A92797" w:rsidRDefault="00000000">
      <w:pPr>
        <w:pStyle w:val="Ttulo3"/>
      </w:pPr>
      <w:r>
        <w:lastRenderedPageBreak/>
        <w:t>1.2 Distribución de Amenazas Principales</w:t>
      </w:r>
    </w:p>
    <w:p w14:paraId="7903C7A7" w14:textId="77777777" w:rsidR="00A92797" w:rsidRDefault="00000000">
      <w:r>
        <w:t>Las amenazas más prevalentes en España 2024 agrupan el 96% de incidentes reportados:</w:t>
      </w:r>
    </w:p>
    <w:tbl>
      <w:tblPr>
        <w:tblStyle w:val="Cuadrculaclara-nfasis1"/>
        <w:tblW w:w="0" w:type="auto"/>
        <w:tblLook w:val="04A0" w:firstRow="1" w:lastRow="0" w:firstColumn="1" w:lastColumn="0" w:noHBand="0" w:noVBand="1"/>
      </w:tblPr>
      <w:tblGrid>
        <w:gridCol w:w="2337"/>
        <w:gridCol w:w="2334"/>
        <w:gridCol w:w="2333"/>
        <w:gridCol w:w="2336"/>
      </w:tblGrid>
      <w:tr w:rsidR="00A92797" w14:paraId="37CEB0FA"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210F3BC5" w14:textId="77777777" w:rsidR="00A92797" w:rsidRDefault="00000000">
            <w:pPr>
              <w:keepNext/>
              <w:keepLines/>
            </w:pPr>
            <w:r>
              <w:rPr>
                <w:color w:val="FFFFFF"/>
              </w:rPr>
              <w:t>Tipo de Amenaza</w:t>
            </w:r>
          </w:p>
        </w:tc>
        <w:tc>
          <w:tcPr>
            <w:tcW w:w="2340" w:type="dxa"/>
            <w:shd w:val="clear" w:color="auto" w:fill="0033CC"/>
          </w:tcPr>
          <w:p w14:paraId="6074AFD5"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Volumen</w:t>
            </w:r>
          </w:p>
        </w:tc>
        <w:tc>
          <w:tcPr>
            <w:tcW w:w="2340" w:type="dxa"/>
            <w:shd w:val="clear" w:color="auto" w:fill="0033CC"/>
          </w:tcPr>
          <w:p w14:paraId="778A7237"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 del Total</w:t>
            </w:r>
          </w:p>
        </w:tc>
        <w:tc>
          <w:tcPr>
            <w:tcW w:w="2340" w:type="dxa"/>
            <w:shd w:val="clear" w:color="auto" w:fill="0033CC"/>
          </w:tcPr>
          <w:p w14:paraId="154CA124"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Tendencia</w:t>
            </w:r>
          </w:p>
        </w:tc>
      </w:tr>
      <w:tr w:rsidR="00A92797" w14:paraId="7428594C"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F684AEE" w14:textId="77777777" w:rsidR="00A92797" w:rsidRDefault="00000000">
            <w:pPr>
              <w:keepNext/>
              <w:keepLines/>
            </w:pPr>
            <w:r>
              <w:t>Phishing</w:t>
            </w:r>
          </w:p>
        </w:tc>
        <w:tc>
          <w:tcPr>
            <w:tcW w:w="2340" w:type="dxa"/>
          </w:tcPr>
          <w:p w14:paraId="2F0F335A"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21.571</w:t>
            </w:r>
          </w:p>
        </w:tc>
        <w:tc>
          <w:tcPr>
            <w:tcW w:w="2340" w:type="dxa"/>
          </w:tcPr>
          <w:p w14:paraId="7531C195"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24,4%</w:t>
            </w:r>
          </w:p>
        </w:tc>
        <w:tc>
          <w:tcPr>
            <w:tcW w:w="2340" w:type="dxa"/>
          </w:tcPr>
          <w:p w14:paraId="10DC72AF"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Estable</w:t>
            </w:r>
          </w:p>
        </w:tc>
      </w:tr>
      <w:tr w:rsidR="00A92797" w14:paraId="7A79AEF9"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AF69B84" w14:textId="77777777" w:rsidR="00A92797" w:rsidRDefault="00000000">
            <w:pPr>
              <w:keepNext/>
              <w:keepLines/>
            </w:pPr>
            <w:r>
              <w:t>Malware</w:t>
            </w:r>
          </w:p>
        </w:tc>
        <w:tc>
          <w:tcPr>
            <w:tcW w:w="2340" w:type="dxa"/>
          </w:tcPr>
          <w:p w14:paraId="71B8E7CC"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42.136</w:t>
            </w:r>
          </w:p>
        </w:tc>
        <w:tc>
          <w:tcPr>
            <w:tcW w:w="2340" w:type="dxa"/>
          </w:tcPr>
          <w:p w14:paraId="5DA17CF0"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43,2%</w:t>
            </w:r>
          </w:p>
        </w:tc>
        <w:tc>
          <w:tcPr>
            <w:tcW w:w="2340" w:type="dxa"/>
          </w:tcPr>
          <w:p w14:paraId="1742D889"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+43,2% YoY</w:t>
            </w:r>
          </w:p>
        </w:tc>
      </w:tr>
      <w:tr w:rsidR="00A92797" w14:paraId="580294DD"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93A70EF" w14:textId="77777777" w:rsidR="00A92797" w:rsidRDefault="00000000">
            <w:pPr>
              <w:keepNext/>
              <w:keepLines/>
            </w:pPr>
            <w:r>
              <w:t>Fraude Online</w:t>
            </w:r>
          </w:p>
        </w:tc>
        <w:tc>
          <w:tcPr>
            <w:tcW w:w="2340" w:type="dxa"/>
          </w:tcPr>
          <w:p w14:paraId="420B38A5"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38.000+</w:t>
            </w:r>
          </w:p>
        </w:tc>
        <w:tc>
          <w:tcPr>
            <w:tcW w:w="2340" w:type="dxa"/>
          </w:tcPr>
          <w:p w14:paraId="4388F825"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43,1%</w:t>
            </w:r>
          </w:p>
        </w:tc>
        <w:tc>
          <w:tcPr>
            <w:tcW w:w="2340" w:type="dxa"/>
          </w:tcPr>
          <w:p w14:paraId="78A473FC"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Variado</w:t>
            </w:r>
          </w:p>
        </w:tc>
      </w:tr>
      <w:tr w:rsidR="00A92797" w14:paraId="5BD733A5"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615C81C" w14:textId="77777777" w:rsidR="00A92797" w:rsidRDefault="00000000">
            <w:pPr>
              <w:keepNext/>
              <w:keepLines/>
            </w:pPr>
            <w:r>
              <w:t>Intrusiones/Acceso No Autorizado</w:t>
            </w:r>
          </w:p>
        </w:tc>
        <w:tc>
          <w:tcPr>
            <w:tcW w:w="2340" w:type="dxa"/>
          </w:tcPr>
          <w:p w14:paraId="3CAAD49B"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7.470</w:t>
            </w:r>
          </w:p>
        </w:tc>
        <w:tc>
          <w:tcPr>
            <w:tcW w:w="2340" w:type="dxa"/>
          </w:tcPr>
          <w:p w14:paraId="00AB10A9"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8,5%</w:t>
            </w:r>
          </w:p>
        </w:tc>
        <w:tc>
          <w:tcPr>
            <w:tcW w:w="2340" w:type="dxa"/>
          </w:tcPr>
          <w:p w14:paraId="3DAAC869"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Enfocado en OT</w:t>
            </w:r>
          </w:p>
        </w:tc>
      </w:tr>
      <w:tr w:rsidR="00A92797" w14:paraId="016E0DAC"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9E51B87" w14:textId="77777777" w:rsidR="00A92797" w:rsidRDefault="00000000">
            <w:pPr>
              <w:keepLines/>
            </w:pPr>
            <w:r>
              <w:t>E-commerce Fraudulento</w:t>
            </w:r>
          </w:p>
        </w:tc>
        <w:tc>
          <w:tcPr>
            <w:tcW w:w="2340" w:type="dxa"/>
          </w:tcPr>
          <w:p w14:paraId="155DFB0A"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2.122</w:t>
            </w:r>
          </w:p>
        </w:tc>
        <w:tc>
          <w:tcPr>
            <w:tcW w:w="2340" w:type="dxa"/>
          </w:tcPr>
          <w:p w14:paraId="51745ED0"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2,4%</w:t>
            </w:r>
          </w:p>
        </w:tc>
        <w:tc>
          <w:tcPr>
            <w:tcW w:w="2340" w:type="dxa"/>
          </w:tcPr>
          <w:p w14:paraId="78662388"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Fragmentado</w:t>
            </w:r>
          </w:p>
        </w:tc>
      </w:tr>
    </w:tbl>
    <w:p w14:paraId="760F3D4C" w14:textId="77777777" w:rsidR="00A92797" w:rsidRDefault="00A92797"/>
    <w:p w14:paraId="41AF8732" w14:textId="77777777" w:rsidR="00A92797" w:rsidRDefault="00000000">
      <w:r>
        <w:rPr>
          <w:b/>
        </w:rPr>
        <w:t>Vector de Ataque Principal:</w:t>
      </w:r>
      <w:r>
        <w:t xml:space="preserve"> Correo electrónico y redes sociales (60% de casos iniciales); escalada lateral hacia sistemas OT/SCADA mediante credenciales válidas y "living off the land" tactics.</w:t>
      </w:r>
    </w:p>
    <w:p w14:paraId="05E24E7A" w14:textId="77777777" w:rsidR="00A92797" w:rsidRDefault="00000000">
      <w:pPr>
        <w:pStyle w:val="Ttulo3"/>
      </w:pPr>
      <w:r>
        <w:t>1.3 Impacto por Sector Empresarial</w:t>
      </w:r>
    </w:p>
    <w:p w14:paraId="55E95278" w14:textId="77777777" w:rsidR="00A92797" w:rsidRDefault="00000000">
      <w:r>
        <w:t>Los sectores más afectados en 2024 presentan vulnerabilidades diferenciadas:</w:t>
      </w:r>
    </w:p>
    <w:tbl>
      <w:tblPr>
        <w:tblStyle w:val="Cuadrculaclara-nfasis1"/>
        <w:tblW w:w="0" w:type="auto"/>
        <w:tblLook w:val="04A0" w:firstRow="1" w:lastRow="0" w:firstColumn="1" w:lastColumn="0" w:noHBand="0" w:noVBand="1"/>
      </w:tblPr>
      <w:tblGrid>
        <w:gridCol w:w="3115"/>
        <w:gridCol w:w="3112"/>
        <w:gridCol w:w="3113"/>
      </w:tblGrid>
      <w:tr w:rsidR="00A92797" w14:paraId="1EE67C62"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730DAF9D" w14:textId="77777777" w:rsidR="00A92797" w:rsidRDefault="00000000">
            <w:pPr>
              <w:keepNext/>
              <w:keepLines/>
            </w:pPr>
            <w:r>
              <w:rPr>
                <w:color w:val="FFFFFF"/>
              </w:rPr>
              <w:t>Sector</w:t>
            </w:r>
          </w:p>
        </w:tc>
        <w:tc>
          <w:tcPr>
            <w:tcW w:w="3120" w:type="dxa"/>
            <w:shd w:val="clear" w:color="auto" w:fill="0033CC"/>
          </w:tcPr>
          <w:p w14:paraId="6F171B0F"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Incidentes</w:t>
            </w:r>
          </w:p>
        </w:tc>
        <w:tc>
          <w:tcPr>
            <w:tcW w:w="3120" w:type="dxa"/>
            <w:shd w:val="clear" w:color="auto" w:fill="0033CC"/>
          </w:tcPr>
          <w:p w14:paraId="6476068F"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Contexto Crítico</w:t>
            </w:r>
          </w:p>
        </w:tc>
      </w:tr>
      <w:tr w:rsidR="00A92797" w14:paraId="6968C715"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B3E8CAD" w14:textId="77777777" w:rsidR="00A92797" w:rsidRDefault="00000000">
            <w:pPr>
              <w:keepNext/>
              <w:keepLines/>
            </w:pPr>
            <w:r>
              <w:t>Industrial (Manufacturero)</w:t>
            </w:r>
          </w:p>
        </w:tc>
        <w:tc>
          <w:tcPr>
            <w:tcW w:w="3120" w:type="dxa"/>
          </w:tcPr>
          <w:p w14:paraId="79A790DA"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986 (33,9%)</w:t>
            </w:r>
          </w:p>
        </w:tc>
        <w:tc>
          <w:tcPr>
            <w:tcW w:w="3120" w:type="dxa"/>
          </w:tcPr>
          <w:p w14:paraId="2C6CEA64"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Malware OT, cadena suministro</w:t>
            </w:r>
          </w:p>
        </w:tc>
      </w:tr>
      <w:tr w:rsidR="00A92797" w14:paraId="1989268C"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3AA58C7" w14:textId="77777777" w:rsidR="00A92797" w:rsidRDefault="00000000">
            <w:pPr>
              <w:keepNext/>
              <w:keepLines/>
            </w:pPr>
            <w:r>
              <w:t>Consultoría</w:t>
            </w:r>
          </w:p>
        </w:tc>
        <w:tc>
          <w:tcPr>
            <w:tcW w:w="3120" w:type="dxa"/>
          </w:tcPr>
          <w:p w14:paraId="691CB690"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334</w:t>
            </w:r>
          </w:p>
        </w:tc>
        <w:tc>
          <w:tcPr>
            <w:tcW w:w="3120" w:type="dxa"/>
          </w:tcPr>
          <w:p w14:paraId="0D949E4A"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Espionaje corporativo</w:t>
            </w:r>
          </w:p>
        </w:tc>
      </w:tr>
      <w:tr w:rsidR="00A92797" w14:paraId="20FB9879"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D987C09" w14:textId="77777777" w:rsidR="00A92797" w:rsidRDefault="00000000">
            <w:pPr>
              <w:keepNext/>
              <w:keepLines/>
            </w:pPr>
            <w:r>
              <w:t>Financiero</w:t>
            </w:r>
          </w:p>
        </w:tc>
        <w:tc>
          <w:tcPr>
            <w:tcW w:w="3120" w:type="dxa"/>
          </w:tcPr>
          <w:p w14:paraId="1DDB416F"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228</w:t>
            </w:r>
          </w:p>
        </w:tc>
        <w:tc>
          <w:tcPr>
            <w:tcW w:w="3120" w:type="dxa"/>
          </w:tcPr>
          <w:p w14:paraId="7F6A02D5"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Ataques sofisticados selectivos</w:t>
            </w:r>
          </w:p>
        </w:tc>
      </w:tr>
      <w:tr w:rsidR="00A92797" w14:paraId="3A97F683"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F150D6E" w14:textId="77777777" w:rsidR="00A92797" w:rsidRDefault="00000000">
            <w:pPr>
              <w:keepNext/>
              <w:keepLines/>
            </w:pPr>
            <w:r>
              <w:t>Retail</w:t>
            </w:r>
          </w:p>
        </w:tc>
        <w:tc>
          <w:tcPr>
            <w:tcW w:w="3120" w:type="dxa"/>
          </w:tcPr>
          <w:p w14:paraId="15B12D00"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Liderazgo europeo</w:t>
            </w:r>
          </w:p>
        </w:tc>
        <w:tc>
          <w:tcPr>
            <w:tcW w:w="3120" w:type="dxa"/>
          </w:tcPr>
          <w:p w14:paraId="49180C2D"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+178% ransomware vs 2023</w:t>
            </w:r>
          </w:p>
        </w:tc>
      </w:tr>
      <w:tr w:rsidR="00A92797" w14:paraId="051C0E54"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2D8C319" w14:textId="77777777" w:rsidR="00A92797" w:rsidRDefault="00000000">
            <w:pPr>
              <w:keepLines/>
            </w:pPr>
            <w:r>
              <w:t>Salud/Educación (RedIRIS)</w:t>
            </w:r>
          </w:p>
        </w:tc>
        <w:tc>
          <w:tcPr>
            <w:tcW w:w="3120" w:type="dxa"/>
          </w:tcPr>
          <w:p w14:paraId="00C1892D"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1.673</w:t>
            </w:r>
          </w:p>
        </w:tc>
        <w:tc>
          <w:tcPr>
            <w:tcW w:w="3120" w:type="dxa"/>
          </w:tcPr>
          <w:p w14:paraId="1BB836D3"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Interrupción servicios esenciales</w:t>
            </w:r>
          </w:p>
        </w:tc>
      </w:tr>
    </w:tbl>
    <w:p w14:paraId="205E6B0C" w14:textId="77777777" w:rsidR="00A92797" w:rsidRDefault="00A92797"/>
    <w:p w14:paraId="613D61DE" w14:textId="77777777" w:rsidR="00A92797" w:rsidRDefault="00000000">
      <w:pPr>
        <w:pStyle w:val="Ttulo3"/>
      </w:pPr>
      <w:r>
        <w:t>1.4 Consecuencias Económicas Documentadas</w:t>
      </w:r>
    </w:p>
    <w:p w14:paraId="0AE0742E" w14:textId="77777777" w:rsidR="00A92797" w:rsidRDefault="00000000">
      <w:r>
        <w:t xml:space="preserve">Las pérdidas financieras por ciberataques en Europa alcanzaron </w:t>
      </w:r>
      <w:r>
        <w:rPr>
          <w:b/>
        </w:rPr>
        <w:t>8.000 millones €/año</w:t>
      </w:r>
      <w:r>
        <w:t>. En España:</w:t>
      </w:r>
    </w:p>
    <w:p w14:paraId="5FD5C181" w14:textId="77777777" w:rsidR="00A92797" w:rsidRDefault="00000000">
      <w:pPr>
        <w:pStyle w:val="Listaconvietas"/>
        <w:keepNext/>
        <w:keepLines/>
      </w:pPr>
      <w:r>
        <w:t>63% de incidentes generaron pérdidas &gt;940.000 €</w:t>
      </w:r>
    </w:p>
    <w:p w14:paraId="266D65EE" w14:textId="77777777" w:rsidR="00A92797" w:rsidRDefault="00000000">
      <w:pPr>
        <w:pStyle w:val="Listaconvietas"/>
        <w:keepNext/>
        <w:keepLines/>
      </w:pPr>
      <w:r>
        <w:t>38% de empresas atacadas: fraude por desvío de pagos</w:t>
      </w:r>
    </w:p>
    <w:p w14:paraId="4DEC1CCC" w14:textId="77777777" w:rsidR="00A92797" w:rsidRDefault="00000000">
      <w:pPr>
        <w:pStyle w:val="Listaconvietas"/>
        <w:keepNext/>
        <w:keepLines/>
      </w:pPr>
      <w:r>
        <w:t>27% de empresas: deterioro marca/reputación</w:t>
      </w:r>
    </w:p>
    <w:p w14:paraId="7619A6EE" w14:textId="77777777" w:rsidR="00A92797" w:rsidRDefault="00000000">
      <w:pPr>
        <w:pStyle w:val="Listaconvietas"/>
        <w:keepNext/>
        <w:keepLines/>
      </w:pPr>
      <w:r>
        <w:t>24% de empresas: pérdida de clientes</w:t>
      </w:r>
    </w:p>
    <w:p w14:paraId="5125FD15" w14:textId="77777777" w:rsidR="00A92797" w:rsidRDefault="00000000">
      <w:pPr>
        <w:pStyle w:val="Listaconvietas"/>
        <w:keepLines/>
      </w:pPr>
      <w:r>
        <w:t>Ingresos e-commerce español 2024: 32.580 millones € (32,6M usuarios activos)</w:t>
      </w:r>
    </w:p>
    <w:p w14:paraId="396AFBF3" w14:textId="77777777" w:rsidR="00A92797" w:rsidRDefault="00000000">
      <w:pPr>
        <w:pStyle w:val="Ttulo2"/>
      </w:pPr>
      <w:r>
        <w:rPr>
          <w:color w:val="0066CC"/>
        </w:rPr>
        <w:t>2. INFRAESTRUCTURA CRÍTICA Y OPERADORES ESENCIALES</w:t>
      </w:r>
    </w:p>
    <w:p w14:paraId="585073A4" w14:textId="77777777" w:rsidR="00A92797" w:rsidRDefault="00000000">
      <w:pPr>
        <w:pStyle w:val="Ttulo3"/>
      </w:pPr>
      <w:r>
        <w:t>2.1 Nivel de Riesgo en CRITIS</w:t>
      </w:r>
    </w:p>
    <w:p w14:paraId="217136AB" w14:textId="77777777" w:rsidR="00A92797" w:rsidRDefault="00000000">
      <w:r>
        <w:t xml:space="preserve">España identificó </w:t>
      </w:r>
      <w:r>
        <w:rPr>
          <w:b/>
        </w:rPr>
        <w:t>18 sectores críticos y esenciales</w:t>
      </w:r>
      <w:r>
        <w:t xml:space="preserve"> bajo supervisión NIS2:</w:t>
      </w:r>
    </w:p>
    <w:tbl>
      <w:tblPr>
        <w:tblStyle w:val="Cuadrculaclara-nfasis1"/>
        <w:tblW w:w="0" w:type="auto"/>
        <w:tblLook w:val="04A0" w:firstRow="1" w:lastRow="0" w:firstColumn="1" w:lastColumn="0" w:noHBand="0" w:noVBand="1"/>
      </w:tblPr>
      <w:tblGrid>
        <w:gridCol w:w="2338"/>
        <w:gridCol w:w="2333"/>
        <w:gridCol w:w="2336"/>
        <w:gridCol w:w="2333"/>
      </w:tblGrid>
      <w:tr w:rsidR="00A92797" w14:paraId="3D5DE742"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0F4AFAAB" w14:textId="77777777" w:rsidR="00A92797" w:rsidRDefault="00000000">
            <w:pPr>
              <w:keepNext/>
              <w:keepLines/>
            </w:pPr>
            <w:r>
              <w:rPr>
                <w:color w:val="FFFFFF"/>
              </w:rPr>
              <w:lastRenderedPageBreak/>
              <w:t>Sector Crítico</w:t>
            </w:r>
          </w:p>
        </w:tc>
        <w:tc>
          <w:tcPr>
            <w:tcW w:w="2340" w:type="dxa"/>
            <w:shd w:val="clear" w:color="auto" w:fill="0033CC"/>
          </w:tcPr>
          <w:p w14:paraId="4A7F1C9B"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 de Incidentes</w:t>
            </w:r>
          </w:p>
        </w:tc>
        <w:tc>
          <w:tcPr>
            <w:tcW w:w="2340" w:type="dxa"/>
            <w:shd w:val="clear" w:color="auto" w:fill="0033CC"/>
          </w:tcPr>
          <w:p w14:paraId="09793FC7"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Amenaza Principal</w:t>
            </w:r>
          </w:p>
        </w:tc>
        <w:tc>
          <w:tcPr>
            <w:tcW w:w="2340" w:type="dxa"/>
            <w:shd w:val="clear" w:color="auto" w:fill="0033CC"/>
          </w:tcPr>
          <w:p w14:paraId="0B906420"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Estado Madurez</w:t>
            </w:r>
          </w:p>
        </w:tc>
      </w:tr>
      <w:tr w:rsidR="00A92797" w14:paraId="3D5FC9E8"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67D9B54" w14:textId="77777777" w:rsidR="00A92797" w:rsidRDefault="00000000">
            <w:pPr>
              <w:keepNext/>
              <w:keepLines/>
            </w:pPr>
            <w:r>
              <w:t>Energía</w:t>
            </w:r>
          </w:p>
        </w:tc>
        <w:tc>
          <w:tcPr>
            <w:tcW w:w="2340" w:type="dxa"/>
          </w:tcPr>
          <w:p w14:paraId="2BBCC2E1"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9%</w:t>
            </w:r>
          </w:p>
        </w:tc>
        <w:tc>
          <w:tcPr>
            <w:tcW w:w="2340" w:type="dxa"/>
          </w:tcPr>
          <w:p w14:paraId="038CF1A8"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Destructiva, OT/SCADA</w:t>
            </w:r>
          </w:p>
        </w:tc>
        <w:tc>
          <w:tcPr>
            <w:tcW w:w="2340" w:type="dxa"/>
          </w:tcPr>
          <w:p w14:paraId="511F6B2F"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Mejorando</w:t>
            </w:r>
          </w:p>
        </w:tc>
      </w:tr>
      <w:tr w:rsidR="00A92797" w14:paraId="35E51527"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ED1AF56" w14:textId="77777777" w:rsidR="00A92797" w:rsidRDefault="00000000">
            <w:pPr>
              <w:keepNext/>
              <w:keepLines/>
            </w:pPr>
            <w:r>
              <w:t>Agua</w:t>
            </w:r>
          </w:p>
        </w:tc>
        <w:tc>
          <w:tcPr>
            <w:tcW w:w="2340" w:type="dxa"/>
          </w:tcPr>
          <w:p w14:paraId="6D4038DA"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18,33%</w:t>
            </w:r>
          </w:p>
        </w:tc>
        <w:tc>
          <w:tcPr>
            <w:tcW w:w="2340" w:type="dxa"/>
          </w:tcPr>
          <w:p w14:paraId="53D1EF64"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Volt Typhoon (China)</w:t>
            </w:r>
          </w:p>
        </w:tc>
        <w:tc>
          <w:tcPr>
            <w:tcW w:w="2340" w:type="dxa"/>
          </w:tcPr>
          <w:p w14:paraId="37D9B442"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Vulnerable</w:t>
            </w:r>
          </w:p>
        </w:tc>
      </w:tr>
      <w:tr w:rsidR="00A92797" w14:paraId="48DD944E"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0695674" w14:textId="77777777" w:rsidR="00A92797" w:rsidRDefault="00000000">
            <w:pPr>
              <w:keepNext/>
              <w:keepLines/>
            </w:pPr>
            <w:r>
              <w:t>Transporte</w:t>
            </w:r>
          </w:p>
        </w:tc>
        <w:tc>
          <w:tcPr>
            <w:tcW w:w="2340" w:type="dxa"/>
          </w:tcPr>
          <w:p w14:paraId="54267F73"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22,08%</w:t>
            </w:r>
          </w:p>
        </w:tc>
        <w:tc>
          <w:tcPr>
            <w:tcW w:w="2340" w:type="dxa"/>
          </w:tcPr>
          <w:p w14:paraId="63F43A6A"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Sabotaje, espionaje</w:t>
            </w:r>
          </w:p>
        </w:tc>
        <w:tc>
          <w:tcPr>
            <w:tcW w:w="2340" w:type="dxa"/>
          </w:tcPr>
          <w:p w14:paraId="2B71D3F8"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Mejorando</w:t>
            </w:r>
          </w:p>
        </w:tc>
      </w:tr>
      <w:tr w:rsidR="00A92797" w14:paraId="7F303469"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78F4B8D" w14:textId="77777777" w:rsidR="00A92797" w:rsidRDefault="00000000">
            <w:pPr>
              <w:keepNext/>
              <w:keepLines/>
            </w:pPr>
            <w:r>
              <w:t>TIC</w:t>
            </w:r>
          </w:p>
        </w:tc>
        <w:tc>
          <w:tcPr>
            <w:tcW w:w="2340" w:type="dxa"/>
          </w:tcPr>
          <w:p w14:paraId="4F524A8C"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25,00%</w:t>
            </w:r>
          </w:p>
        </w:tc>
        <w:tc>
          <w:tcPr>
            <w:tcW w:w="2340" w:type="dxa"/>
          </w:tcPr>
          <w:p w14:paraId="2302AD1C"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Supply chain, IA</w:t>
            </w:r>
          </w:p>
        </w:tc>
        <w:tc>
          <w:tcPr>
            <w:tcW w:w="2340" w:type="dxa"/>
          </w:tcPr>
          <w:p w14:paraId="38B7D341"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Avanzado</w:t>
            </w:r>
          </w:p>
        </w:tc>
      </w:tr>
      <w:tr w:rsidR="00A92797" w14:paraId="7A7D3AB1"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7578B24" w14:textId="77777777" w:rsidR="00A92797" w:rsidRDefault="00000000">
            <w:pPr>
              <w:keepLines/>
            </w:pPr>
            <w:r>
              <w:t>Telecomunicaciones</w:t>
            </w:r>
          </w:p>
        </w:tc>
        <w:tc>
          <w:tcPr>
            <w:tcW w:w="2340" w:type="dxa"/>
          </w:tcPr>
          <w:p w14:paraId="7481CC9A"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&gt;10%</w:t>
            </w:r>
          </w:p>
        </w:tc>
        <w:tc>
          <w:tcPr>
            <w:tcW w:w="2340" w:type="dxa"/>
          </w:tcPr>
          <w:p w14:paraId="329318C5"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Infraestructura conectividad</w:t>
            </w:r>
          </w:p>
        </w:tc>
        <w:tc>
          <w:tcPr>
            <w:tcW w:w="2340" w:type="dxa"/>
          </w:tcPr>
          <w:p w14:paraId="502A1BE7"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Avanzado</w:t>
            </w:r>
          </w:p>
        </w:tc>
      </w:tr>
    </w:tbl>
    <w:p w14:paraId="314186F9" w14:textId="77777777" w:rsidR="00A92797" w:rsidRDefault="00A92797"/>
    <w:p w14:paraId="39E3BCDF" w14:textId="77777777" w:rsidR="00A92797" w:rsidRDefault="00000000">
      <w:r>
        <w:rPr>
          <w:b/>
        </w:rPr>
        <w:t>Incidentes en Operadores Esenciales 2024: 341</w:t>
      </w:r>
      <w:r>
        <w:t xml:space="preserve"> (gestión INCIBE/sectorial)</w:t>
      </w:r>
    </w:p>
    <w:p w14:paraId="70D19C9D" w14:textId="77777777" w:rsidR="00A92797" w:rsidRDefault="00000000">
      <w:pPr>
        <w:pStyle w:val="Ttulo3"/>
      </w:pPr>
      <w:r>
        <w:t>2.2 Estimación de Riesgo Residual</w:t>
      </w:r>
    </w:p>
    <w:p w14:paraId="34721890" w14:textId="77777777" w:rsidR="00A92797" w:rsidRDefault="00000000">
      <w:r>
        <w:t>Análisis de ciberinteligencia (Zerod/Cipher x63 Unit):</w:t>
      </w:r>
      <w:r>
        <w:br/>
        <w:t xml:space="preserve">- </w:t>
      </w:r>
      <w:r>
        <w:rPr>
          <w:b/>
        </w:rPr>
        <w:t>Probabilidad de ataque exitoso a infraestructura crítica: 60%+ en 5 años</w:t>
      </w:r>
      <w:r>
        <w:br/>
        <w:t xml:space="preserve">- </w:t>
      </w:r>
      <w:r>
        <w:rPr>
          <w:b/>
        </w:rPr>
        <w:t>Aumento de ataques a CRITIS 2024: +43% vs 2023</w:t>
      </w:r>
      <w:r>
        <w:br/>
        <w:t xml:space="preserve">- </w:t>
      </w:r>
      <w:r>
        <w:rPr>
          <w:b/>
        </w:rPr>
        <w:t>Actores patrocinados por estados enfocados en OT/SCADA (permanencia 5+ años sin detectar)</w:t>
      </w:r>
    </w:p>
    <w:p w14:paraId="18252AF3" w14:textId="77777777" w:rsidR="00A92797" w:rsidRDefault="00000000">
      <w:pPr>
        <w:pStyle w:val="Ttulo2"/>
      </w:pPr>
      <w:r>
        <w:rPr>
          <w:color w:val="0066CC"/>
        </w:rPr>
        <w:t>3. COMPARATIVA GLOBAL: ESPAÑA EN CONTEXTO INTERNACIONAL</w:t>
      </w:r>
    </w:p>
    <w:p w14:paraId="64ED6F90" w14:textId="77777777" w:rsidR="00A92797" w:rsidRDefault="00000000">
      <w:pPr>
        <w:pStyle w:val="Ttulo3"/>
      </w:pPr>
      <w:r>
        <w:t>3.1 Posicionamiento Según Global Cybersecurity Index (GCI 2024)</w:t>
      </w:r>
    </w:p>
    <w:p w14:paraId="03DDC580" w14:textId="77777777" w:rsidR="00A92797" w:rsidRDefault="00000000">
      <w:r>
        <w:t>La Unión Internacional de Telecomunicaciones (UIT) clasificó a España en:</w:t>
      </w:r>
    </w:p>
    <w:p w14:paraId="6DEE7F56" w14:textId="77777777" w:rsidR="00A92797" w:rsidRDefault="00000000">
      <w:r>
        <w:rPr>
          <w:b/>
        </w:rPr>
        <w:t>Tier 1 (T1) - "Modelo a Seguir"</w:t>
      </w:r>
    </w:p>
    <w:p w14:paraId="7197FD27" w14:textId="77777777" w:rsidR="00A92797" w:rsidRDefault="00000000">
      <w:r>
        <w:t>Evaluación según 5 Pilares:</w:t>
      </w:r>
      <w:r>
        <w:br/>
        <w:t>- ✓ Marco legal (fortaleza)</w:t>
      </w:r>
      <w:r>
        <w:br/>
        <w:t>- ✓ Medidas técnicas (robusto)</w:t>
      </w:r>
      <w:r>
        <w:br/>
        <w:t>- ✓ Medidas organizacionales (establecidas)</w:t>
      </w:r>
      <w:r>
        <w:br/>
        <w:t>- ✓ Desarrollo de capacidades (significativo)</w:t>
      </w:r>
      <w:r>
        <w:br/>
        <w:t>- ✓ Cooperación (activa)</w:t>
      </w:r>
    </w:p>
    <w:p w14:paraId="6ED7A532" w14:textId="77777777" w:rsidR="00A92797" w:rsidRDefault="00000000">
      <w:r>
        <w:rPr>
          <w:b/>
        </w:rPr>
        <w:t>Posición Global:</w:t>
      </w:r>
      <w:r>
        <w:t xml:space="preserve"> 46 países en T1; 105 países en T3-T4 (brecha significativa de capacidad)</w:t>
      </w:r>
    </w:p>
    <w:p w14:paraId="61E95BE2" w14:textId="77777777" w:rsidR="00A92797" w:rsidRDefault="00000000">
      <w:pPr>
        <w:pStyle w:val="Ttulo3"/>
      </w:pPr>
      <w:r>
        <w:lastRenderedPageBreak/>
        <w:t>3.2 España en Incidentes Globales</w:t>
      </w:r>
    </w:p>
    <w:tbl>
      <w:tblPr>
        <w:tblStyle w:val="Cuadrculaclara-nfasis1"/>
        <w:tblW w:w="0" w:type="auto"/>
        <w:tblLook w:val="04A0" w:firstRow="1" w:lastRow="0" w:firstColumn="1" w:lastColumn="0" w:noHBand="0" w:noVBand="1"/>
      </w:tblPr>
      <w:tblGrid>
        <w:gridCol w:w="2335"/>
        <w:gridCol w:w="2335"/>
        <w:gridCol w:w="2336"/>
        <w:gridCol w:w="2334"/>
      </w:tblGrid>
      <w:tr w:rsidR="00A92797" w14:paraId="7EECDA97"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5076DC85" w14:textId="77777777" w:rsidR="00A92797" w:rsidRDefault="00000000">
            <w:pPr>
              <w:keepNext/>
              <w:keepLines/>
            </w:pPr>
            <w:r>
              <w:rPr>
                <w:color w:val="FFFFFF"/>
              </w:rPr>
              <w:t>Ranking</w:t>
            </w:r>
          </w:p>
        </w:tc>
        <w:tc>
          <w:tcPr>
            <w:tcW w:w="2340" w:type="dxa"/>
            <w:shd w:val="clear" w:color="auto" w:fill="0033CC"/>
          </w:tcPr>
          <w:p w14:paraId="7AF6B7F9"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Métrica</w:t>
            </w:r>
          </w:p>
        </w:tc>
        <w:tc>
          <w:tcPr>
            <w:tcW w:w="2340" w:type="dxa"/>
            <w:shd w:val="clear" w:color="auto" w:fill="0033CC"/>
          </w:tcPr>
          <w:p w14:paraId="65FCCD9B"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Posición</w:t>
            </w:r>
          </w:p>
        </w:tc>
        <w:tc>
          <w:tcPr>
            <w:tcW w:w="2340" w:type="dxa"/>
            <w:shd w:val="clear" w:color="auto" w:fill="0033CC"/>
          </w:tcPr>
          <w:p w14:paraId="2E68A0C8"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Volumen</w:t>
            </w:r>
          </w:p>
        </w:tc>
      </w:tr>
      <w:tr w:rsidR="00A92797" w14:paraId="3E04695E"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F8ACD10" w14:textId="77777777" w:rsidR="00A92797" w:rsidRDefault="00000000">
            <w:pPr>
              <w:keepNext/>
              <w:keepLines/>
            </w:pPr>
            <w:r>
              <w:t>Filtraciones de datos (acumulado)</w:t>
            </w:r>
          </w:p>
        </w:tc>
        <w:tc>
          <w:tcPr>
            <w:tcW w:w="2340" w:type="dxa"/>
          </w:tcPr>
          <w:p w14:paraId="6AE9C28A"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5º país</w:t>
            </w:r>
          </w:p>
        </w:tc>
        <w:tc>
          <w:tcPr>
            <w:tcW w:w="2340" w:type="dxa"/>
          </w:tcPr>
          <w:p w14:paraId="24D91F45"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248,1M cuentas</w:t>
            </w:r>
          </w:p>
        </w:tc>
        <w:tc>
          <w:tcPr>
            <w:tcW w:w="2340" w:type="dxa"/>
          </w:tcPr>
          <w:p w14:paraId="38916CB7" w14:textId="77777777" w:rsidR="00A92797" w:rsidRDefault="00A92797">
            <w:pPr>
              <w:keepNext/>
              <w:keepLines/>
              <w:cnfStyle w:val="000000100000" w:firstRow="0" w:lastRow="0" w:firstColumn="0" w:lastColumn="0" w:oddVBand="0" w:evenVBand="0" w:oddHBand="1" w:evenHBand="0" w:firstRowFirstColumn="0" w:firstRowLastColumn="0" w:lastRowFirstColumn="0" w:lastRowLastColumn="0"/>
            </w:pPr>
          </w:p>
        </w:tc>
      </w:tr>
      <w:tr w:rsidR="00A92797" w14:paraId="4FF3CB13"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A4B2087" w14:textId="77777777" w:rsidR="00A92797" w:rsidRDefault="00000000">
            <w:pPr>
              <w:keepNext/>
              <w:keepLines/>
            </w:pPr>
            <w:r>
              <w:t>Ransomware (H2 2024)</w:t>
            </w:r>
          </w:p>
        </w:tc>
        <w:tc>
          <w:tcPr>
            <w:tcW w:w="2340" w:type="dxa"/>
          </w:tcPr>
          <w:p w14:paraId="3F2BABAB"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8º país</w:t>
            </w:r>
          </w:p>
        </w:tc>
        <w:tc>
          <w:tcPr>
            <w:tcW w:w="2340" w:type="dxa"/>
          </w:tcPr>
          <w:p w14:paraId="096583AF"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107 ataques</w:t>
            </w:r>
          </w:p>
        </w:tc>
        <w:tc>
          <w:tcPr>
            <w:tcW w:w="2340" w:type="dxa"/>
          </w:tcPr>
          <w:p w14:paraId="16798BC5" w14:textId="77777777" w:rsidR="00A92797" w:rsidRDefault="00A92797">
            <w:pPr>
              <w:keepNext/>
              <w:keepLines/>
              <w:cnfStyle w:val="000000010000" w:firstRow="0" w:lastRow="0" w:firstColumn="0" w:lastColumn="0" w:oddVBand="0" w:evenVBand="0" w:oddHBand="0" w:evenHBand="1" w:firstRowFirstColumn="0" w:firstRowLastColumn="0" w:lastRowFirstColumn="0" w:lastRowLastColumn="0"/>
            </w:pPr>
          </w:p>
        </w:tc>
      </w:tr>
      <w:tr w:rsidR="00A92797" w14:paraId="151B8D2B"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6C26ED1" w14:textId="77777777" w:rsidR="00A92797" w:rsidRDefault="00000000">
            <w:pPr>
              <w:keepNext/>
              <w:keepLines/>
            </w:pPr>
            <w:r>
              <w:t>Densidad de vulneración</w:t>
            </w:r>
          </w:p>
        </w:tc>
        <w:tc>
          <w:tcPr>
            <w:tcW w:w="2340" w:type="dxa"/>
          </w:tcPr>
          <w:p w14:paraId="7C223CBC"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51 por 1.000 habitantes</w:t>
            </w:r>
          </w:p>
        </w:tc>
        <w:tc>
          <w:tcPr>
            <w:tcW w:w="2340" w:type="dxa"/>
          </w:tcPr>
          <w:p w14:paraId="4880FF51"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Preocupante en contexto UE</w:t>
            </w:r>
          </w:p>
        </w:tc>
        <w:tc>
          <w:tcPr>
            <w:tcW w:w="2340" w:type="dxa"/>
          </w:tcPr>
          <w:p w14:paraId="17CFAC8E" w14:textId="77777777" w:rsidR="00A92797" w:rsidRDefault="00A92797">
            <w:pPr>
              <w:keepNext/>
              <w:keepLines/>
              <w:cnfStyle w:val="000000100000" w:firstRow="0" w:lastRow="0" w:firstColumn="0" w:lastColumn="0" w:oddVBand="0" w:evenVBand="0" w:oddHBand="1" w:evenHBand="0" w:firstRowFirstColumn="0" w:firstRowLastColumn="0" w:lastRowFirstColumn="0" w:lastRowLastColumn="0"/>
            </w:pPr>
          </w:p>
        </w:tc>
      </w:tr>
      <w:tr w:rsidR="00A92797" w14:paraId="7DF00837"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D036C55" w14:textId="77777777" w:rsidR="00A92797" w:rsidRDefault="00000000">
            <w:pPr>
              <w:keepNext/>
              <w:keepLines/>
            </w:pPr>
            <w:r>
              <w:t>Ataques semanales por organización</w:t>
            </w:r>
          </w:p>
        </w:tc>
        <w:tc>
          <w:tcPr>
            <w:tcW w:w="2340" w:type="dxa"/>
          </w:tcPr>
          <w:p w14:paraId="675FDE2E"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2.024</w:t>
            </w:r>
          </w:p>
        </w:tc>
        <w:tc>
          <w:tcPr>
            <w:tcW w:w="2340" w:type="dxa"/>
          </w:tcPr>
          <w:p w14:paraId="63DB7ABA"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+16% YoY</w:t>
            </w:r>
          </w:p>
        </w:tc>
        <w:tc>
          <w:tcPr>
            <w:tcW w:w="2340" w:type="dxa"/>
          </w:tcPr>
          <w:p w14:paraId="7600209C" w14:textId="77777777" w:rsidR="00A92797" w:rsidRDefault="00A92797">
            <w:pPr>
              <w:keepNext/>
              <w:keepLines/>
              <w:cnfStyle w:val="000000010000" w:firstRow="0" w:lastRow="0" w:firstColumn="0" w:lastColumn="0" w:oddVBand="0" w:evenVBand="0" w:oddHBand="0" w:evenHBand="1" w:firstRowFirstColumn="0" w:firstRowLastColumn="0" w:lastRowFirstColumn="0" w:lastRowLastColumn="0"/>
            </w:pPr>
          </w:p>
        </w:tc>
      </w:tr>
      <w:tr w:rsidR="00A92797" w14:paraId="5CCA72AC"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C781672" w14:textId="77777777" w:rsidR="00A92797" w:rsidRDefault="00000000">
            <w:pPr>
              <w:keepLines/>
            </w:pPr>
            <w:r>
              <w:t>Ataques a retail (Europa 2024)</w:t>
            </w:r>
          </w:p>
        </w:tc>
        <w:tc>
          <w:tcPr>
            <w:tcW w:w="2340" w:type="dxa"/>
          </w:tcPr>
          <w:p w14:paraId="260205FB"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Entre TOP 5</w:t>
            </w:r>
          </w:p>
        </w:tc>
        <w:tc>
          <w:tcPr>
            <w:tcW w:w="2340" w:type="dxa"/>
          </w:tcPr>
          <w:p w14:paraId="36AC3DAF"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+178% ransomware</w:t>
            </w:r>
          </w:p>
        </w:tc>
        <w:tc>
          <w:tcPr>
            <w:tcW w:w="2340" w:type="dxa"/>
          </w:tcPr>
          <w:p w14:paraId="08C731B4" w14:textId="77777777" w:rsidR="00A92797" w:rsidRDefault="00A92797">
            <w:pPr>
              <w:keepLines/>
              <w:cnfStyle w:val="000000100000" w:firstRow="0" w:lastRow="0" w:firstColumn="0" w:lastColumn="0" w:oddVBand="0" w:evenVBand="0" w:oddHBand="1" w:evenHBand="0" w:firstRowFirstColumn="0" w:firstRowLastColumn="0" w:lastRowFirstColumn="0" w:lastRowLastColumn="0"/>
            </w:pPr>
          </w:p>
        </w:tc>
      </w:tr>
    </w:tbl>
    <w:p w14:paraId="5D9E17BC" w14:textId="77777777" w:rsidR="00A92797" w:rsidRDefault="00A92797"/>
    <w:p w14:paraId="15016CAE" w14:textId="77777777" w:rsidR="00A92797" w:rsidRDefault="00000000">
      <w:pPr>
        <w:pStyle w:val="Ttulo3"/>
      </w:pPr>
      <w:r>
        <w:t>3.3 Benchmarking de Amenazas</w:t>
      </w:r>
    </w:p>
    <w:p w14:paraId="72B2F978" w14:textId="77777777" w:rsidR="00A92797" w:rsidRDefault="00000000">
      <w:r>
        <w:t>Actores de amenaza enfocados en infraestructura crítica y sectores españoles:</w:t>
      </w:r>
    </w:p>
    <w:tbl>
      <w:tblPr>
        <w:tblStyle w:val="Cuadrculaclara-nfasis1"/>
        <w:tblW w:w="0" w:type="auto"/>
        <w:tblLook w:val="04A0" w:firstRow="1" w:lastRow="0" w:firstColumn="1" w:lastColumn="0" w:noHBand="0" w:noVBand="1"/>
      </w:tblPr>
      <w:tblGrid>
        <w:gridCol w:w="2335"/>
        <w:gridCol w:w="2331"/>
        <w:gridCol w:w="2336"/>
        <w:gridCol w:w="2338"/>
      </w:tblGrid>
      <w:tr w:rsidR="00A92797" w14:paraId="40D8F3A8"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57195B84" w14:textId="77777777" w:rsidR="00A92797" w:rsidRDefault="00000000">
            <w:pPr>
              <w:keepNext/>
              <w:keepLines/>
            </w:pPr>
            <w:r>
              <w:rPr>
                <w:color w:val="FFFFFF"/>
              </w:rPr>
              <w:t>Actor</w:t>
            </w:r>
          </w:p>
        </w:tc>
        <w:tc>
          <w:tcPr>
            <w:tcW w:w="2340" w:type="dxa"/>
            <w:shd w:val="clear" w:color="auto" w:fill="0033CC"/>
          </w:tcPr>
          <w:p w14:paraId="02D8B897"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Origen</w:t>
            </w:r>
          </w:p>
        </w:tc>
        <w:tc>
          <w:tcPr>
            <w:tcW w:w="2340" w:type="dxa"/>
            <w:shd w:val="clear" w:color="auto" w:fill="0033CC"/>
          </w:tcPr>
          <w:p w14:paraId="4F2E1FF8"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Técnicas 2024-2025</w:t>
            </w:r>
          </w:p>
        </w:tc>
        <w:tc>
          <w:tcPr>
            <w:tcW w:w="2340" w:type="dxa"/>
            <w:shd w:val="clear" w:color="auto" w:fill="0033CC"/>
          </w:tcPr>
          <w:p w14:paraId="378D3FE5"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Objetivo Prioritario</w:t>
            </w:r>
          </w:p>
        </w:tc>
      </w:tr>
      <w:tr w:rsidR="00A92797" w14:paraId="516FD358"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E084819" w14:textId="77777777" w:rsidR="00A92797" w:rsidRDefault="00000000">
            <w:pPr>
              <w:keepNext/>
              <w:keepLines/>
            </w:pPr>
            <w:r>
              <w:t>Volt Typhoon</w:t>
            </w:r>
          </w:p>
        </w:tc>
        <w:tc>
          <w:tcPr>
            <w:tcW w:w="2340" w:type="dxa"/>
          </w:tcPr>
          <w:p w14:paraId="7EC2DFA3"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China</w:t>
            </w:r>
          </w:p>
        </w:tc>
        <w:tc>
          <w:tcPr>
            <w:tcW w:w="2340" w:type="dxa"/>
          </w:tcPr>
          <w:p w14:paraId="150A7A63"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SOHO routers, "living off land", persistencia 5+ años</w:t>
            </w:r>
          </w:p>
        </w:tc>
        <w:tc>
          <w:tcPr>
            <w:tcW w:w="2340" w:type="dxa"/>
          </w:tcPr>
          <w:p w14:paraId="4E05D958"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CRITIS energía, agua, transporte</w:t>
            </w:r>
          </w:p>
        </w:tc>
      </w:tr>
      <w:tr w:rsidR="00A92797" w14:paraId="242141F5"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A0BB0A8" w14:textId="77777777" w:rsidR="00A92797" w:rsidRDefault="00000000">
            <w:pPr>
              <w:keepNext/>
              <w:keepLines/>
            </w:pPr>
            <w:r>
              <w:t>Berserk Bear/Dragonfly</w:t>
            </w:r>
          </w:p>
        </w:tc>
        <w:tc>
          <w:tcPr>
            <w:tcW w:w="2340" w:type="dxa"/>
          </w:tcPr>
          <w:p w14:paraId="3D850721"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Rusia</w:t>
            </w:r>
          </w:p>
        </w:tc>
        <w:tc>
          <w:tcPr>
            <w:tcW w:w="2340" w:type="dxa"/>
          </w:tcPr>
          <w:p w14:paraId="336F5E9F"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OT/SCADA, wiper destructivo</w:t>
            </w:r>
          </w:p>
        </w:tc>
        <w:tc>
          <w:tcPr>
            <w:tcW w:w="2340" w:type="dxa"/>
          </w:tcPr>
          <w:p w14:paraId="528DC73D"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Energía, telecomunicaciones</w:t>
            </w:r>
          </w:p>
        </w:tc>
      </w:tr>
      <w:tr w:rsidR="00A92797" w14:paraId="4A3BF8CD"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AEC22D5" w14:textId="77777777" w:rsidR="00A92797" w:rsidRDefault="00000000">
            <w:pPr>
              <w:keepNext/>
              <w:keepLines/>
            </w:pPr>
            <w:r>
              <w:t>Lazarus Group</w:t>
            </w:r>
          </w:p>
        </w:tc>
        <w:tc>
          <w:tcPr>
            <w:tcW w:w="2340" w:type="dxa"/>
          </w:tcPr>
          <w:p w14:paraId="4000FC27"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Corea del Norte</w:t>
            </w:r>
          </w:p>
        </w:tc>
        <w:tc>
          <w:tcPr>
            <w:tcW w:w="2340" w:type="dxa"/>
          </w:tcPr>
          <w:p w14:paraId="00D6358B"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Spear-phishing, ofertas empleo falsas, WeaselStore</w:t>
            </w:r>
          </w:p>
        </w:tc>
        <w:tc>
          <w:tcPr>
            <w:tcW w:w="2340" w:type="dxa"/>
          </w:tcPr>
          <w:p w14:paraId="34D0D303"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Finanzas, inversores cripto</w:t>
            </w:r>
          </w:p>
        </w:tc>
      </w:tr>
      <w:tr w:rsidR="00A92797" w14:paraId="515EAC48"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9C4A63A" w14:textId="77777777" w:rsidR="00A92797" w:rsidRDefault="00000000">
            <w:pPr>
              <w:keepNext/>
              <w:keepLines/>
            </w:pPr>
            <w:r>
              <w:t>APT33/Elfin</w:t>
            </w:r>
          </w:p>
        </w:tc>
        <w:tc>
          <w:tcPr>
            <w:tcW w:w="2340" w:type="dxa"/>
          </w:tcPr>
          <w:p w14:paraId="0829E7D3"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Irán</w:t>
            </w:r>
          </w:p>
        </w:tc>
        <w:tc>
          <w:tcPr>
            <w:tcW w:w="2340" w:type="dxa"/>
          </w:tcPr>
          <w:p w14:paraId="4AAF3ABB"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Sabotaje infraestructura</w:t>
            </w:r>
          </w:p>
        </w:tc>
        <w:tc>
          <w:tcPr>
            <w:tcW w:w="2340" w:type="dxa"/>
          </w:tcPr>
          <w:p w14:paraId="3F6CF0CD"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Energía</w:t>
            </w:r>
          </w:p>
        </w:tc>
      </w:tr>
      <w:tr w:rsidR="00A92797" w14:paraId="05B7C294"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8042EC2" w14:textId="77777777" w:rsidR="00A92797" w:rsidRDefault="00000000">
            <w:pPr>
              <w:keepLines/>
            </w:pPr>
            <w:r>
              <w:t>GRAPHITE</w:t>
            </w:r>
          </w:p>
        </w:tc>
        <w:tc>
          <w:tcPr>
            <w:tcW w:w="2340" w:type="dxa"/>
          </w:tcPr>
          <w:p w14:paraId="138291D6"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Europa del Este</w:t>
            </w:r>
          </w:p>
        </w:tc>
        <w:tc>
          <w:tcPr>
            <w:tcW w:w="2340" w:type="dxa"/>
          </w:tcPr>
          <w:p w14:paraId="13216B8D"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Sabotaje, espionaje</w:t>
            </w:r>
          </w:p>
        </w:tc>
        <w:tc>
          <w:tcPr>
            <w:tcW w:w="2340" w:type="dxa"/>
          </w:tcPr>
          <w:p w14:paraId="0427CB88"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Diversos</w:t>
            </w:r>
          </w:p>
        </w:tc>
      </w:tr>
    </w:tbl>
    <w:p w14:paraId="75B054A5" w14:textId="77777777" w:rsidR="00A92797" w:rsidRDefault="00A92797"/>
    <w:p w14:paraId="08AC3694" w14:textId="77777777" w:rsidR="00A92797" w:rsidRDefault="00000000">
      <w:pPr>
        <w:pStyle w:val="Ttulo2"/>
      </w:pPr>
      <w:r>
        <w:rPr>
          <w:color w:val="0066CC"/>
        </w:rPr>
        <w:t>4. MARCO REGULATORIO: TRANSICIÓN NORMATIVA (2024-2025)</w:t>
      </w:r>
    </w:p>
    <w:p w14:paraId="51B69053" w14:textId="77777777" w:rsidR="00A92797" w:rsidRDefault="00000000">
      <w:pPr>
        <w:pStyle w:val="Ttulo3"/>
      </w:pPr>
      <w:r>
        <w:t>4.1 Directiva NIS2 - Estado de Transposición en España</w:t>
      </w:r>
    </w:p>
    <w:p w14:paraId="63CBA1B5" w14:textId="77777777" w:rsidR="00A92797" w:rsidRDefault="00000000">
      <w:r>
        <w:rPr>
          <w:b/>
        </w:rPr>
        <w:t>Situación a mayo 2025:</w:t>
      </w:r>
      <w:r>
        <w:t xml:space="preserve"> Transposición pendiente sin fecha de publicación</w:t>
      </w:r>
    </w:p>
    <w:tbl>
      <w:tblPr>
        <w:tblStyle w:val="Cuadrculaclara-nfasis1"/>
        <w:tblW w:w="0" w:type="auto"/>
        <w:tblLook w:val="04A0" w:firstRow="1" w:lastRow="0" w:firstColumn="1" w:lastColumn="0" w:noHBand="0" w:noVBand="1"/>
      </w:tblPr>
      <w:tblGrid>
        <w:gridCol w:w="3114"/>
        <w:gridCol w:w="3112"/>
        <w:gridCol w:w="3114"/>
      </w:tblGrid>
      <w:tr w:rsidR="00A92797" w14:paraId="3DF8E012"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160789A1" w14:textId="77777777" w:rsidR="00A92797" w:rsidRDefault="00000000">
            <w:pPr>
              <w:keepNext/>
              <w:keepLines/>
            </w:pPr>
            <w:r>
              <w:rPr>
                <w:color w:val="FFFFFF"/>
              </w:rPr>
              <w:t>País</w:t>
            </w:r>
          </w:p>
        </w:tc>
        <w:tc>
          <w:tcPr>
            <w:tcW w:w="3120" w:type="dxa"/>
            <w:shd w:val="clear" w:color="auto" w:fill="0033CC"/>
          </w:tcPr>
          <w:p w14:paraId="3A37960B"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Estado</w:t>
            </w:r>
          </w:p>
        </w:tc>
        <w:tc>
          <w:tcPr>
            <w:tcW w:w="3120" w:type="dxa"/>
            <w:shd w:val="clear" w:color="auto" w:fill="0033CC"/>
          </w:tcPr>
          <w:p w14:paraId="0183F273"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Predicción</w:t>
            </w:r>
          </w:p>
        </w:tc>
      </w:tr>
      <w:tr w:rsidR="00A92797" w14:paraId="7BC8AB9C"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FB8F885" w14:textId="77777777" w:rsidR="00A92797" w:rsidRDefault="00000000">
            <w:pPr>
              <w:keepNext/>
              <w:keepLines/>
            </w:pPr>
            <w:r>
              <w:t>España</w:t>
            </w:r>
          </w:p>
        </w:tc>
        <w:tc>
          <w:tcPr>
            <w:tcW w:w="3120" w:type="dxa"/>
          </w:tcPr>
          <w:p w14:paraId="4622CD6C"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Pendiente</w:t>
            </w:r>
          </w:p>
        </w:tc>
        <w:tc>
          <w:tcPr>
            <w:tcW w:w="3120" w:type="dxa"/>
          </w:tcPr>
          <w:p w14:paraId="402F9089"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Sin claridad normativa</w:t>
            </w:r>
          </w:p>
        </w:tc>
      </w:tr>
      <w:tr w:rsidR="00A92797" w14:paraId="5A6C9951"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C6C89B0" w14:textId="77777777" w:rsidR="00A92797" w:rsidRDefault="00000000">
            <w:pPr>
              <w:keepNext/>
              <w:keepLines/>
            </w:pPr>
            <w:r>
              <w:t>Alemania</w:t>
            </w:r>
          </w:p>
        </w:tc>
        <w:tc>
          <w:tcPr>
            <w:tcW w:w="3120" w:type="dxa"/>
          </w:tcPr>
          <w:p w14:paraId="4AEB1541"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Retrasado</w:t>
            </w:r>
          </w:p>
        </w:tc>
        <w:tc>
          <w:tcPr>
            <w:tcW w:w="3120" w:type="dxa"/>
          </w:tcPr>
          <w:p w14:paraId="379B432B"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Otoño/invierno 2025</w:t>
            </w:r>
          </w:p>
        </w:tc>
      </w:tr>
      <w:tr w:rsidR="00A92797" w14:paraId="197BC82B"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342AA52" w14:textId="77777777" w:rsidR="00A92797" w:rsidRDefault="00000000">
            <w:pPr>
              <w:keepNext/>
              <w:keepLines/>
            </w:pPr>
            <w:r>
              <w:t>Francia</w:t>
            </w:r>
          </w:p>
        </w:tc>
        <w:tc>
          <w:tcPr>
            <w:tcW w:w="3120" w:type="dxa"/>
          </w:tcPr>
          <w:p w14:paraId="7F8CC2DC"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Adoptado Senado</w:t>
            </w:r>
          </w:p>
        </w:tc>
        <w:tc>
          <w:tcPr>
            <w:tcW w:w="3120" w:type="dxa"/>
          </w:tcPr>
          <w:p w14:paraId="561C5F2B"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Antes julio 2025</w:t>
            </w:r>
          </w:p>
        </w:tc>
      </w:tr>
      <w:tr w:rsidR="00A92797" w14:paraId="2B72AC0A"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CBAE167" w14:textId="77777777" w:rsidR="00A92797" w:rsidRDefault="00000000">
            <w:pPr>
              <w:keepLines/>
            </w:pPr>
            <w:r>
              <w:t>Implementados</w:t>
            </w:r>
          </w:p>
        </w:tc>
        <w:tc>
          <w:tcPr>
            <w:tcW w:w="3120" w:type="dxa"/>
          </w:tcPr>
          <w:p w14:paraId="686606B4" w14:textId="77777777" w:rsidR="00A92797" w:rsidRDefault="00000000">
            <w:pPr>
              <w:keepLines/>
              <w:cnfStyle w:val="000000010000" w:firstRow="0" w:lastRow="0" w:firstColumn="0" w:lastColumn="0" w:oddVBand="0" w:evenVBand="0" w:oddHBand="0" w:evenHBand="1" w:firstRowFirstColumn="0" w:firstRowLastColumn="0" w:lastRowFirstColumn="0" w:lastRowLastColumn="0"/>
            </w:pPr>
            <w:r>
              <w:t>Grecia, Letonia, Rumania, Eslovaquia, Hungría</w:t>
            </w:r>
          </w:p>
        </w:tc>
        <w:tc>
          <w:tcPr>
            <w:tcW w:w="3120" w:type="dxa"/>
          </w:tcPr>
          <w:p w14:paraId="2D1C22E0" w14:textId="77777777" w:rsidR="00A92797" w:rsidRDefault="00000000">
            <w:pPr>
              <w:keepLines/>
              <w:cnfStyle w:val="000000010000" w:firstRow="0" w:lastRow="0" w:firstColumn="0" w:lastColumn="0" w:oddVBand="0" w:evenVBand="0" w:oddHBand="0" w:evenHBand="1" w:firstRowFirstColumn="0" w:firstRowLastColumn="0" w:lastRowFirstColumn="0" w:lastRowLastColumn="0"/>
            </w:pPr>
            <w:r>
              <w:t>Completo</w:t>
            </w:r>
          </w:p>
        </w:tc>
      </w:tr>
    </w:tbl>
    <w:p w14:paraId="693ECC1B" w14:textId="77777777" w:rsidR="00A92797" w:rsidRDefault="00A92797"/>
    <w:p w14:paraId="292904CC" w14:textId="77777777" w:rsidR="00A92797" w:rsidRDefault="00000000">
      <w:r>
        <w:rPr>
          <w:b/>
        </w:rPr>
        <w:lastRenderedPageBreak/>
        <w:t>Impacto:</w:t>
      </w:r>
      <w:r>
        <w:t xml:space="preserve"> +160.000 entidades cubiertas en UE (&gt;50 empleados o &gt;10M € facturación); España sin ley nacional completa</w:t>
      </w:r>
    </w:p>
    <w:p w14:paraId="25A9C98C" w14:textId="77777777" w:rsidR="00A92797" w:rsidRDefault="00000000">
      <w:r>
        <w:rPr>
          <w:b/>
        </w:rPr>
        <w:t>Requisitos Clave NIS2:</w:t>
      </w:r>
      <w:r>
        <w:br/>
        <w:t>- Evaluación y gestión de riesgos (NIST, FAIR, ISO 27001-compatible)</w:t>
      </w:r>
      <w:r>
        <w:br/>
        <w:t>- Notificación de incidentes: 24h inicial, 72h preliminar, 30d informe completo</w:t>
      </w:r>
      <w:r>
        <w:br/>
        <w:t>- Sanciones: hasta 10M € o 2% facturación anual</w:t>
      </w:r>
      <w:r>
        <w:br/>
        <w:t>- Responsabilidad ejecutiva directa (CISOs con autoridad)</w:t>
      </w:r>
    </w:p>
    <w:p w14:paraId="7DA5C59D" w14:textId="77777777" w:rsidR="00A92797" w:rsidRDefault="00000000">
      <w:pPr>
        <w:pStyle w:val="Ttulo3"/>
      </w:pPr>
      <w:r>
        <w:t>4.2 Ley de Ciberresiliencia (Cyber Resilience Act - CRA)</w:t>
      </w:r>
    </w:p>
    <w:p w14:paraId="5B9B1C5B" w14:textId="77777777" w:rsidR="00A92797" w:rsidRDefault="00000000">
      <w:r>
        <w:rPr>
          <w:b/>
        </w:rPr>
        <w:t>En vigor: 10 diciembre 2024</w:t>
      </w:r>
      <w:r>
        <w:t xml:space="preserve"> | </w:t>
      </w:r>
      <w:r>
        <w:rPr>
          <w:b/>
        </w:rPr>
        <w:t>Aplicación total: 11 diciembre 2027</w:t>
      </w:r>
    </w:p>
    <w:p w14:paraId="689BC6DE" w14:textId="77777777" w:rsidR="00A92797" w:rsidRDefault="00000000">
      <w:r>
        <w:t>Requisitos para productos con elementos digitales:</w:t>
      </w:r>
      <w:r>
        <w:br/>
        <w:t>- Marcado CE obligatorio</w:t>
      </w:r>
      <w:r>
        <w:br/>
        <w:t>- Gestión de vulnerabilidades durante ciclo de vida</w:t>
      </w:r>
      <w:r>
        <w:br/>
        <w:t>- Notificación CISA/autoridades: 24h</w:t>
      </w:r>
      <w:r>
        <w:br/>
        <w:t>- Soporte de vulnerabilidades: 5 años mínimo</w:t>
      </w:r>
    </w:p>
    <w:p w14:paraId="3B291D7F" w14:textId="77777777" w:rsidR="00A92797" w:rsidRDefault="00000000">
      <w:r>
        <w:rPr>
          <w:b/>
        </w:rPr>
        <w:t>Sanciones escalonadas:</w:t>
      </w:r>
      <w:r>
        <w:br/>
        <w:t>- Más graves: 15M € o 2,5% facturación anual</w:t>
      </w:r>
      <w:r>
        <w:br/>
        <w:t>- Incumplimiento parcial: 10M € o 2%</w:t>
      </w:r>
      <w:r>
        <w:br/>
        <w:t>- Información inexacta: 5M € o 1%</w:t>
      </w:r>
    </w:p>
    <w:p w14:paraId="335D6BBA" w14:textId="77777777" w:rsidR="00A92797" w:rsidRDefault="00000000">
      <w:pPr>
        <w:pStyle w:val="Ttulo3"/>
      </w:pPr>
      <w:r>
        <w:t>4.3 Esquema Nacional de Seguridad (ENS) Español</w:t>
      </w:r>
    </w:p>
    <w:p w14:paraId="21FA8933" w14:textId="77777777" w:rsidR="00A92797" w:rsidRDefault="00000000">
      <w:r>
        <w:t>Cumplimiento obligatorio para administración pública; compatible y acelerador de NIS2. Incluye:</w:t>
      </w:r>
      <w:r>
        <w:br/>
        <w:t>- Análisis de riesgos sistematizado</w:t>
      </w:r>
      <w:r>
        <w:br/>
        <w:t>- Categorización de activos (disponibilidad, autenticidad, integridad, confidencialidad, trazabilidad)</w:t>
      </w:r>
      <w:r>
        <w:br/>
        <w:t>- Políticas de seguridad diferenciada</w:t>
      </w:r>
      <w:r>
        <w:br/>
        <w:t>- Auditorías internas periódicas</w:t>
      </w:r>
    </w:p>
    <w:p w14:paraId="236E4012" w14:textId="77777777" w:rsidR="00A92797" w:rsidRDefault="00000000">
      <w:pPr>
        <w:pStyle w:val="Ttulo3"/>
      </w:pPr>
      <w:r>
        <w:t>4.4 Nueva Estrategia Nacional de Ciberseguridad</w:t>
      </w:r>
    </w:p>
    <w:p w14:paraId="579CC482" w14:textId="77777777" w:rsidR="00A92797" w:rsidRDefault="00000000">
      <w:r>
        <w:rPr>
          <w:b/>
        </w:rPr>
        <w:t>Iniciada:</w:t>
      </w:r>
      <w:r>
        <w:t xml:space="preserve"> Mayo 2025 (Consejo Seguridad Nacional)</w:t>
      </w:r>
      <w:r>
        <w:br/>
      </w:r>
      <w:r>
        <w:rPr>
          <w:b/>
        </w:rPr>
        <w:t>Inversión:</w:t>
      </w:r>
      <w:r>
        <w:t xml:space="preserve"> 1.157 millones € 2025+</w:t>
      </w:r>
      <w:r>
        <w:br/>
      </w:r>
      <w:r>
        <w:rPr>
          <w:b/>
        </w:rPr>
        <w:t>Objetivo:</w:t>
      </w:r>
      <w:r>
        <w:t xml:space="preserve"> Consolidar España como hub ciberseguridad europeo</w:t>
      </w:r>
    </w:p>
    <w:p w14:paraId="342BA47E" w14:textId="77777777" w:rsidR="00A92797" w:rsidRDefault="00000000">
      <w:r>
        <w:t>Elementos clave:</w:t>
      </w:r>
      <w:r>
        <w:br/>
        <w:t>- Creación Centro Nacional de Ciberseguridad (CNC)</w:t>
      </w:r>
      <w:r>
        <w:br/>
        <w:t>- Plataforma centralizada notificación incidentes</w:t>
      </w:r>
      <w:r>
        <w:br/>
        <w:t>- Refuerzo IA en detección amenazas</w:t>
      </w:r>
      <w:r>
        <w:br/>
        <w:t>- Colaboración academia-industria-gobierno</w:t>
      </w:r>
    </w:p>
    <w:p w14:paraId="09523385" w14:textId="77777777" w:rsidR="00A92797" w:rsidRDefault="00000000">
      <w:pPr>
        <w:pStyle w:val="Ttulo2"/>
      </w:pPr>
      <w:r>
        <w:rPr>
          <w:color w:val="0066CC"/>
        </w:rPr>
        <w:lastRenderedPageBreak/>
        <w:t>5. INDICADORES Y MÉTRICAS DE MADUREZ CIBERSEGURIDAD</w:t>
      </w:r>
    </w:p>
    <w:p w14:paraId="318F1C35" w14:textId="77777777" w:rsidR="00A92797" w:rsidRDefault="00000000">
      <w:pPr>
        <w:pStyle w:val="Ttulo3"/>
      </w:pPr>
      <w:r>
        <w:t>5.1 Marco NIST CSF 2.0 (Funciones Básicas)</w:t>
      </w:r>
    </w:p>
    <w:p w14:paraId="5A39DB25" w14:textId="77777777" w:rsidR="00A92797" w:rsidRDefault="00000000">
      <w:r>
        <w:t>España implementa progresivamente seis funciones de gobernanza cibernética:</w:t>
      </w:r>
    </w:p>
    <w:tbl>
      <w:tblPr>
        <w:tblStyle w:val="Cuadrculaclara-nfasis1"/>
        <w:tblW w:w="0" w:type="auto"/>
        <w:tblLook w:val="04A0" w:firstRow="1" w:lastRow="0" w:firstColumn="1" w:lastColumn="0" w:noHBand="0" w:noVBand="1"/>
      </w:tblPr>
      <w:tblGrid>
        <w:gridCol w:w="3112"/>
        <w:gridCol w:w="3115"/>
        <w:gridCol w:w="3113"/>
      </w:tblGrid>
      <w:tr w:rsidR="00A92797" w14:paraId="22B7E4A9"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7898F5A0" w14:textId="77777777" w:rsidR="00A92797" w:rsidRDefault="00000000">
            <w:pPr>
              <w:keepNext/>
              <w:keepLines/>
            </w:pPr>
            <w:r>
              <w:rPr>
                <w:color w:val="FFFFFF"/>
              </w:rPr>
              <w:t>Función</w:t>
            </w:r>
          </w:p>
        </w:tc>
        <w:tc>
          <w:tcPr>
            <w:tcW w:w="3120" w:type="dxa"/>
            <w:shd w:val="clear" w:color="auto" w:fill="0033CC"/>
          </w:tcPr>
          <w:p w14:paraId="1F13FD81"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3120" w:type="dxa"/>
            <w:shd w:val="clear" w:color="auto" w:fill="0033CC"/>
          </w:tcPr>
          <w:p w14:paraId="5CF0F370"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Madurez España</w:t>
            </w:r>
          </w:p>
        </w:tc>
      </w:tr>
      <w:tr w:rsidR="00A92797" w14:paraId="64F897ED"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3CBDA20" w14:textId="77777777" w:rsidR="00A92797" w:rsidRDefault="00000000">
            <w:pPr>
              <w:keepNext/>
              <w:keepLines/>
            </w:pPr>
            <w:r>
              <w:t>Gobernar (GV)</w:t>
            </w:r>
          </w:p>
        </w:tc>
        <w:tc>
          <w:tcPr>
            <w:tcW w:w="3120" w:type="dxa"/>
          </w:tcPr>
          <w:p w14:paraId="3E7BAFFA"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Estrategia, políticas, gobernanza riesgos</w:t>
            </w:r>
          </w:p>
        </w:tc>
        <w:tc>
          <w:tcPr>
            <w:tcW w:w="3120" w:type="dxa"/>
          </w:tcPr>
          <w:p w14:paraId="2A1AE60F"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Avanzada</w:t>
            </w:r>
          </w:p>
        </w:tc>
      </w:tr>
      <w:tr w:rsidR="00A92797" w14:paraId="4A173178"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FE94E11" w14:textId="77777777" w:rsidR="00A92797" w:rsidRDefault="00000000">
            <w:pPr>
              <w:keepNext/>
              <w:keepLines/>
            </w:pPr>
            <w:r>
              <w:t>Identificar (ID)</w:t>
            </w:r>
          </w:p>
        </w:tc>
        <w:tc>
          <w:tcPr>
            <w:tcW w:w="3120" w:type="dxa"/>
          </w:tcPr>
          <w:p w14:paraId="2464BC64"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Inventario activos, amenazas, vulnerabilidades</w:t>
            </w:r>
          </w:p>
        </w:tc>
        <w:tc>
          <w:tcPr>
            <w:tcW w:w="3120" w:type="dxa"/>
          </w:tcPr>
          <w:p w14:paraId="479C167A"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Avanzada</w:t>
            </w:r>
          </w:p>
        </w:tc>
      </w:tr>
      <w:tr w:rsidR="00A92797" w14:paraId="57E86568"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6D198B0" w14:textId="77777777" w:rsidR="00A92797" w:rsidRDefault="00000000">
            <w:pPr>
              <w:keepNext/>
              <w:keepLines/>
            </w:pPr>
            <w:r>
              <w:t>Proteger (PR)</w:t>
            </w:r>
          </w:p>
        </w:tc>
        <w:tc>
          <w:tcPr>
            <w:tcW w:w="3120" w:type="dxa"/>
          </w:tcPr>
          <w:p w14:paraId="61DB9ECF"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Controles preventivos, cifrado, acceso</w:t>
            </w:r>
          </w:p>
        </w:tc>
        <w:tc>
          <w:tcPr>
            <w:tcW w:w="3120" w:type="dxa"/>
          </w:tcPr>
          <w:p w14:paraId="4168433D"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Avanzada</w:t>
            </w:r>
          </w:p>
        </w:tc>
      </w:tr>
      <w:tr w:rsidR="00A92797" w14:paraId="2ACCF182"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987365A" w14:textId="77777777" w:rsidR="00A92797" w:rsidRDefault="00000000">
            <w:pPr>
              <w:keepNext/>
              <w:keepLines/>
            </w:pPr>
            <w:r>
              <w:t>Detectar (DE)</w:t>
            </w:r>
          </w:p>
        </w:tc>
        <w:tc>
          <w:tcPr>
            <w:tcW w:w="3120" w:type="dxa"/>
          </w:tcPr>
          <w:p w14:paraId="233CDFEE"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Detección anomalías, análisis incidentes</w:t>
            </w:r>
          </w:p>
        </w:tc>
        <w:tc>
          <w:tcPr>
            <w:tcW w:w="3120" w:type="dxa"/>
          </w:tcPr>
          <w:p w14:paraId="71678101"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Mejorando</w:t>
            </w:r>
          </w:p>
        </w:tc>
      </w:tr>
      <w:tr w:rsidR="00A92797" w14:paraId="29F16FA2"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359E2AB" w14:textId="77777777" w:rsidR="00A92797" w:rsidRDefault="00000000">
            <w:pPr>
              <w:keepNext/>
              <w:keepLines/>
            </w:pPr>
            <w:r>
              <w:t>Responder (RS)</w:t>
            </w:r>
          </w:p>
        </w:tc>
        <w:tc>
          <w:tcPr>
            <w:tcW w:w="3120" w:type="dxa"/>
          </w:tcPr>
          <w:p w14:paraId="7A5976CF"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Planes respuesta, mitigación</w:t>
            </w:r>
          </w:p>
        </w:tc>
        <w:tc>
          <w:tcPr>
            <w:tcW w:w="3120" w:type="dxa"/>
          </w:tcPr>
          <w:p w14:paraId="552FE859"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Débil en pymes</w:t>
            </w:r>
          </w:p>
        </w:tc>
      </w:tr>
      <w:tr w:rsidR="00A92797" w14:paraId="4DB136B4"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E545067" w14:textId="77777777" w:rsidR="00A92797" w:rsidRDefault="00000000">
            <w:pPr>
              <w:keepLines/>
            </w:pPr>
            <w:r>
              <w:t>Recuperar (RC)</w:t>
            </w:r>
          </w:p>
        </w:tc>
        <w:tc>
          <w:tcPr>
            <w:tcW w:w="3120" w:type="dxa"/>
          </w:tcPr>
          <w:p w14:paraId="739D3BE2" w14:textId="77777777" w:rsidR="00A92797" w:rsidRDefault="00000000">
            <w:pPr>
              <w:keepLines/>
              <w:cnfStyle w:val="000000010000" w:firstRow="0" w:lastRow="0" w:firstColumn="0" w:lastColumn="0" w:oddVBand="0" w:evenVBand="0" w:oddHBand="0" w:evenHBand="1" w:firstRowFirstColumn="0" w:firstRowLastColumn="0" w:lastRowFirstColumn="0" w:lastRowLastColumn="0"/>
            </w:pPr>
            <w:r>
              <w:t>Planes continuidad, RTO/RPO</w:t>
            </w:r>
          </w:p>
        </w:tc>
        <w:tc>
          <w:tcPr>
            <w:tcW w:w="3120" w:type="dxa"/>
          </w:tcPr>
          <w:p w14:paraId="720F3D57" w14:textId="77777777" w:rsidR="00A92797" w:rsidRDefault="00000000">
            <w:pPr>
              <w:keepLines/>
              <w:cnfStyle w:val="000000010000" w:firstRow="0" w:lastRow="0" w:firstColumn="0" w:lastColumn="0" w:oddVBand="0" w:evenVBand="0" w:oddHBand="0" w:evenHBand="1" w:firstRowFirstColumn="0" w:firstRowLastColumn="0" w:lastRowFirstColumn="0" w:lastRowLastColumn="0"/>
            </w:pPr>
            <w:r>
              <w:t>Fragmentado</w:t>
            </w:r>
          </w:p>
        </w:tc>
      </w:tr>
    </w:tbl>
    <w:p w14:paraId="228C7A39" w14:textId="77777777" w:rsidR="00A92797" w:rsidRDefault="00A92797"/>
    <w:p w14:paraId="0239A697" w14:textId="77777777" w:rsidR="00A92797" w:rsidRDefault="00000000">
      <w:r>
        <w:rPr>
          <w:b/>
        </w:rPr>
        <w:t>Niveles NIST:</w:t>
      </w:r>
      <w:r>
        <w:t xml:space="preserve"> Parcial (1) → Informado Riesgo (2) → Repetible (3) → Adaptativo (4)</w:t>
      </w:r>
    </w:p>
    <w:p w14:paraId="78B8A613" w14:textId="77777777" w:rsidR="00A92797" w:rsidRDefault="00000000">
      <w:pPr>
        <w:pStyle w:val="Ttulo3"/>
      </w:pPr>
      <w:r>
        <w:t>5.2 Madurez ISO 27001 y Certificaciones en España</w:t>
      </w:r>
    </w:p>
    <w:p w14:paraId="5EC82216" w14:textId="77777777" w:rsidR="00A92797" w:rsidRDefault="00000000">
      <w:r>
        <w:rPr>
          <w:b/>
        </w:rPr>
        <w:t>Situación 2025-2026:</w:t>
      </w:r>
      <w:r>
        <w:br/>
        <w:t xml:space="preserve">- Gobierno: </w:t>
      </w:r>
      <w:r>
        <w:rPr>
          <w:b/>
        </w:rPr>
        <w:t>amplia implantación</w:t>
      </w:r>
      <w:r>
        <w:t xml:space="preserve"> políticas formales, análisis riesgos</w:t>
      </w:r>
      <w:r>
        <w:br/>
        <w:t xml:space="preserve">- Respuesta incidentes: </w:t>
      </w:r>
      <w:r>
        <w:rPr>
          <w:b/>
        </w:rPr>
        <w:t>carencia crítica</w:t>
      </w:r>
      <w:r>
        <w:t xml:space="preserve"> (comités seguridad débiles)</w:t>
      </w:r>
      <w:r>
        <w:br/>
        <w:t xml:space="preserve">- </w:t>
      </w:r>
      <w:r>
        <w:rPr>
          <w:b/>
        </w:rPr>
        <w:t>ISO 27001:</w:t>
      </w:r>
      <w:r>
        <w:t xml:space="preserve"> Adopción desigual; predomina en grandes empresas</w:t>
      </w:r>
      <w:r>
        <w:br/>
        <w:t xml:space="preserve">- </w:t>
      </w:r>
      <w:r>
        <w:rPr>
          <w:b/>
        </w:rPr>
        <w:t>ENS:</w:t>
      </w:r>
      <w:r>
        <w:t xml:space="preserve"> Obligatorio sector público; voluntario privado (baja adopción fuera crítica)</w:t>
      </w:r>
      <w:r>
        <w:br/>
        <w:t xml:space="preserve">- </w:t>
      </w:r>
      <w:r>
        <w:rPr>
          <w:b/>
        </w:rPr>
        <w:t>44,2% de empresas</w:t>
      </w:r>
      <w:r>
        <w:t xml:space="preserve"> prevé aumentar inversión ciberseguridad 2026</w:t>
      </w:r>
    </w:p>
    <w:p w14:paraId="3ED08839" w14:textId="77777777" w:rsidR="00A92797" w:rsidRDefault="00000000">
      <w:pPr>
        <w:pStyle w:val="Ttulo3"/>
      </w:pPr>
      <w:r>
        <w:t>5.3 Cuantificación de Riesgos: Metodologías Aplicadas</w:t>
      </w:r>
    </w:p>
    <w:p w14:paraId="6106D191" w14:textId="77777777" w:rsidR="00A92797" w:rsidRDefault="00000000">
      <w:r>
        <w:rPr>
          <w:b/>
        </w:rPr>
        <w:t>FAIR (Factor Analysis of Information Risk):</w:t>
      </w:r>
      <w:r>
        <w:t xml:space="preserve"> Único modelo cuantitativo estándar internacional</w:t>
      </w:r>
    </w:p>
    <w:p w14:paraId="5DA27FDD" w14:textId="77777777" w:rsidR="00A92797" w:rsidRDefault="00000000">
      <w:r>
        <w:t>Estructura FAIR para España:</w:t>
      </w:r>
      <w:r>
        <w:br/>
        <w:t xml:space="preserve">1. </w:t>
      </w:r>
      <w:r>
        <w:rPr>
          <w:b/>
        </w:rPr>
        <w:t>Identificar escenarios de pérdida</w:t>
      </w:r>
      <w:r>
        <w:t xml:space="preserve"> (amenaza, activo, evento)</w:t>
      </w:r>
      <w:r>
        <w:br/>
        <w:t xml:space="preserve">2. </w:t>
      </w:r>
      <w:r>
        <w:rPr>
          <w:b/>
        </w:rPr>
        <w:t>Decomposición en parámetros cuantitativos</w:t>
      </w:r>
      <w:r>
        <w:t xml:space="preserve"> (TEF, TCap, RS)</w:t>
      </w:r>
      <w:r>
        <w:br/>
        <w:t xml:space="preserve">3. </w:t>
      </w:r>
      <w:r>
        <w:rPr>
          <w:b/>
        </w:rPr>
        <w:t>Estimación de frecuencia y severidad</w:t>
      </w:r>
      <w:r>
        <w:br/>
        <w:t xml:space="preserve">4. </w:t>
      </w:r>
      <w:r>
        <w:rPr>
          <w:b/>
        </w:rPr>
        <w:t>Agregación en pérdida económica esperada</w:t>
      </w:r>
      <w:r>
        <w:t xml:space="preserve"> (ALE/EALE)</w:t>
      </w:r>
    </w:p>
    <w:p w14:paraId="3E103978" w14:textId="77777777" w:rsidR="00A92797" w:rsidRDefault="00000000">
      <w:r>
        <w:rPr>
          <w:b/>
        </w:rPr>
        <w:t>Ejemplo aplicativo:</w:t>
      </w:r>
      <w:r>
        <w:br/>
        <w:t>- Probabilidad moderada brecha datos bancarios: 50% riesgo &gt;$5M anuales</w:t>
      </w:r>
      <w:r>
        <w:br/>
        <w:t>- Exposición al riesgo: vulnerabilidades × tasa explotación × coste promedio</w:t>
      </w:r>
      <w:r>
        <w:br/>
        <w:t>- KPI de eficacia: MTTR (Mean Time To Respond), MTTD (Mean Time To Detect)</w:t>
      </w:r>
    </w:p>
    <w:p w14:paraId="0F7997EC" w14:textId="77777777" w:rsidR="00A92797" w:rsidRDefault="00000000">
      <w:pPr>
        <w:pStyle w:val="Ttulo2"/>
      </w:pPr>
      <w:r>
        <w:rPr>
          <w:color w:val="0066CC"/>
        </w:rPr>
        <w:lastRenderedPageBreak/>
        <w:t>6. ANÁLISIS DE DEBILIDADES ESTRUCTURALES Y BRECHAS</w:t>
      </w:r>
    </w:p>
    <w:p w14:paraId="46C5FEB8" w14:textId="77777777" w:rsidR="00A92797" w:rsidRDefault="00000000">
      <w:pPr>
        <w:pStyle w:val="Ttulo3"/>
      </w:pPr>
      <w:r>
        <w:t>6.1 Brecha de Capacidad Cibernética</w:t>
      </w:r>
    </w:p>
    <w:p w14:paraId="34C9A559" w14:textId="77777777" w:rsidR="00A92797" w:rsidRDefault="00000000">
      <w:r>
        <w:rPr>
          <w:b/>
        </w:rPr>
        <w:t>Desafíos identificados en 2024-2025:</w:t>
      </w:r>
    </w:p>
    <w:tbl>
      <w:tblPr>
        <w:tblStyle w:val="Cuadrculaclara-nfasis1"/>
        <w:tblW w:w="0" w:type="auto"/>
        <w:tblLook w:val="04A0" w:firstRow="1" w:lastRow="0" w:firstColumn="1" w:lastColumn="0" w:noHBand="0" w:noVBand="1"/>
      </w:tblPr>
      <w:tblGrid>
        <w:gridCol w:w="3113"/>
        <w:gridCol w:w="3114"/>
        <w:gridCol w:w="3113"/>
      </w:tblGrid>
      <w:tr w:rsidR="00A92797" w14:paraId="596DD8E3" w14:textId="77777777" w:rsidTr="00A9279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36D90C44" w14:textId="77777777" w:rsidR="00A92797" w:rsidRDefault="00000000">
            <w:pPr>
              <w:keepNext/>
              <w:keepLines/>
            </w:pPr>
            <w:r>
              <w:rPr>
                <w:color w:val="FFFFFF"/>
              </w:rPr>
              <w:t>Brecha</w:t>
            </w:r>
          </w:p>
        </w:tc>
        <w:tc>
          <w:tcPr>
            <w:tcW w:w="3120" w:type="dxa"/>
            <w:shd w:val="clear" w:color="auto" w:fill="0033CC"/>
          </w:tcPr>
          <w:p w14:paraId="3FB86ABD"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3120" w:type="dxa"/>
            <w:shd w:val="clear" w:color="auto" w:fill="0033CC"/>
          </w:tcPr>
          <w:p w14:paraId="20E3ACEE" w14:textId="77777777" w:rsidR="00A92797"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Impacto</w:t>
            </w:r>
          </w:p>
        </w:tc>
      </w:tr>
      <w:tr w:rsidR="00A92797" w14:paraId="2EE70479"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6265FAB" w14:textId="77777777" w:rsidR="00A92797" w:rsidRDefault="00000000">
            <w:pPr>
              <w:keepNext/>
              <w:keepLines/>
            </w:pPr>
            <w:r>
              <w:t>Cualificación profesional</w:t>
            </w:r>
          </w:p>
        </w:tc>
        <w:tc>
          <w:tcPr>
            <w:tcW w:w="3120" w:type="dxa"/>
          </w:tcPr>
          <w:p w14:paraId="69310FD7"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Escasez de CISOs, especialistas OT/SCADA</w:t>
            </w:r>
          </w:p>
        </w:tc>
        <w:tc>
          <w:tcPr>
            <w:tcW w:w="3120" w:type="dxa"/>
          </w:tcPr>
          <w:p w14:paraId="1A399A74"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Respuesta lenta, gaps técnicos</w:t>
            </w:r>
          </w:p>
        </w:tc>
      </w:tr>
      <w:tr w:rsidR="00A92797" w14:paraId="5B61A310"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FA34F80" w14:textId="77777777" w:rsidR="00A92797" w:rsidRDefault="00000000">
            <w:pPr>
              <w:keepNext/>
              <w:keepLines/>
            </w:pPr>
            <w:r>
              <w:t>Inversión diferenciada</w:t>
            </w:r>
          </w:p>
        </w:tc>
        <w:tc>
          <w:tcPr>
            <w:tcW w:w="3120" w:type="dxa"/>
          </w:tcPr>
          <w:p w14:paraId="672DCE85"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Grandes empresas vs pymes (disparidad 3-5x)</w:t>
            </w:r>
          </w:p>
        </w:tc>
        <w:tc>
          <w:tcPr>
            <w:tcW w:w="3120" w:type="dxa"/>
          </w:tcPr>
          <w:p w14:paraId="6358A93E"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Vulnerabilidad sectorial asimétrica</w:t>
            </w:r>
          </w:p>
        </w:tc>
      </w:tr>
      <w:tr w:rsidR="00A92797" w14:paraId="6CDA6E30"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4BB97A19" w14:textId="77777777" w:rsidR="00A92797" w:rsidRDefault="00000000">
            <w:pPr>
              <w:keepNext/>
              <w:keepLines/>
            </w:pPr>
            <w:r>
              <w:t>Concienciación</w:t>
            </w:r>
          </w:p>
        </w:tc>
        <w:tc>
          <w:tcPr>
            <w:tcW w:w="3120" w:type="dxa"/>
          </w:tcPr>
          <w:p w14:paraId="258DF065"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84% pymes sufrió intentos ataque 2024</w:t>
            </w:r>
          </w:p>
        </w:tc>
        <w:tc>
          <w:tcPr>
            <w:tcW w:w="3120" w:type="dxa"/>
          </w:tcPr>
          <w:p w14:paraId="514C07F7" w14:textId="77777777" w:rsidR="00A92797" w:rsidRDefault="00000000">
            <w:pPr>
              <w:keepNext/>
              <w:keepLines/>
              <w:cnfStyle w:val="000000100000" w:firstRow="0" w:lastRow="0" w:firstColumn="0" w:lastColumn="0" w:oddVBand="0" w:evenVBand="0" w:oddHBand="1" w:evenHBand="0" w:firstRowFirstColumn="0" w:firstRowLastColumn="0" w:lastRowFirstColumn="0" w:lastRowLastColumn="0"/>
            </w:pPr>
            <w:r>
              <w:t>Falta entrenamiento continuado</w:t>
            </w:r>
          </w:p>
        </w:tc>
      </w:tr>
      <w:tr w:rsidR="00A92797" w14:paraId="495BEE75" w14:textId="77777777" w:rsidTr="00A92797">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2C21104" w14:textId="77777777" w:rsidR="00A92797" w:rsidRDefault="00000000">
            <w:pPr>
              <w:keepNext/>
              <w:keepLines/>
            </w:pPr>
            <w:r>
              <w:t>Respuesta incidentes</w:t>
            </w:r>
          </w:p>
        </w:tc>
        <w:tc>
          <w:tcPr>
            <w:tcW w:w="3120" w:type="dxa"/>
          </w:tcPr>
          <w:p w14:paraId="3A137762"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36% de organizaciones sin planes coordenados DR/CR</w:t>
            </w:r>
          </w:p>
        </w:tc>
        <w:tc>
          <w:tcPr>
            <w:tcW w:w="3120" w:type="dxa"/>
          </w:tcPr>
          <w:p w14:paraId="17D7B588" w14:textId="77777777" w:rsidR="00A92797" w:rsidRDefault="00000000">
            <w:pPr>
              <w:keepNext/>
              <w:keepLines/>
              <w:cnfStyle w:val="000000010000" w:firstRow="0" w:lastRow="0" w:firstColumn="0" w:lastColumn="0" w:oddVBand="0" w:evenVBand="0" w:oddHBand="0" w:evenHBand="1" w:firstRowFirstColumn="0" w:firstRowLastColumn="0" w:lastRowFirstColumn="0" w:lastRowLastColumn="0"/>
            </w:pPr>
            <w:r>
              <w:t>RTO/RPO no optimizado</w:t>
            </w:r>
          </w:p>
        </w:tc>
      </w:tr>
      <w:tr w:rsidR="00A92797" w14:paraId="52AFCB3C" w14:textId="77777777" w:rsidTr="00A927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66D7E65A" w14:textId="77777777" w:rsidR="00A92797" w:rsidRDefault="00000000">
            <w:pPr>
              <w:keepLines/>
            </w:pPr>
            <w:r>
              <w:t>Cumplimiento normativo</w:t>
            </w:r>
          </w:p>
        </w:tc>
        <w:tc>
          <w:tcPr>
            <w:tcW w:w="3120" w:type="dxa"/>
          </w:tcPr>
          <w:p w14:paraId="03AD0176"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Desconocimiento NIS2/DORA/CRA en pymes</w:t>
            </w:r>
          </w:p>
        </w:tc>
        <w:tc>
          <w:tcPr>
            <w:tcW w:w="3120" w:type="dxa"/>
          </w:tcPr>
          <w:p w14:paraId="1F1DBB86" w14:textId="77777777" w:rsidR="00A92797" w:rsidRDefault="00000000">
            <w:pPr>
              <w:keepLines/>
              <w:cnfStyle w:val="000000100000" w:firstRow="0" w:lastRow="0" w:firstColumn="0" w:lastColumn="0" w:oddVBand="0" w:evenVBand="0" w:oddHBand="1" w:evenHBand="0" w:firstRowFirstColumn="0" w:firstRowLastColumn="0" w:lastRowFirstColumn="0" w:lastRowLastColumn="0"/>
            </w:pPr>
            <w:r>
              <w:t>Riesgo legal y operacional</w:t>
            </w:r>
          </w:p>
        </w:tc>
      </w:tr>
    </w:tbl>
    <w:p w14:paraId="3D14A88B" w14:textId="77777777" w:rsidR="00A92797" w:rsidRDefault="00A92797"/>
    <w:p w14:paraId="5C92BDFA" w14:textId="77777777" w:rsidR="00A92797" w:rsidRDefault="00000000">
      <w:pPr>
        <w:pStyle w:val="Ttulo3"/>
      </w:pPr>
      <w:r>
        <w:t>6.2 Puntos Críticos Regulatorios</w:t>
      </w:r>
    </w:p>
    <w:p w14:paraId="048F05BA" w14:textId="77777777" w:rsidR="00A92797" w:rsidRDefault="00000000">
      <w:pPr>
        <w:pStyle w:val="Listaconvietas"/>
        <w:keepNext/>
        <w:keepLines/>
      </w:pPr>
      <w:r>
        <w:t>NIS2 transposición sin fecha: Gap de 7+ meses post-18 octubre 2024</w:t>
      </w:r>
    </w:p>
    <w:p w14:paraId="7DDB653E" w14:textId="77777777" w:rsidR="00A92797" w:rsidRDefault="00000000">
      <w:pPr>
        <w:pStyle w:val="Listaconvietas"/>
        <w:keepNext/>
        <w:keepLines/>
      </w:pPr>
      <w:r>
        <w:t>Responsabilidad ejecutiva unclear: Directivos sin claridad sobre obligaciones</w:t>
      </w:r>
    </w:p>
    <w:p w14:paraId="64C7EFF6" w14:textId="77777777" w:rsidR="00A92797" w:rsidRDefault="00000000">
      <w:pPr>
        <w:pStyle w:val="Listaconvietas"/>
        <w:keepNext/>
        <w:keepLines/>
      </w:pPr>
      <w:r>
        <w:t>Centro Nacional Ciberseguridad: Aún en creación (lentitud gobierno)</w:t>
      </w:r>
    </w:p>
    <w:p w14:paraId="654D94B2" w14:textId="77777777" w:rsidR="00A92797" w:rsidRDefault="00000000">
      <w:pPr>
        <w:pStyle w:val="Listaconvietas"/>
        <w:keepLines/>
      </w:pPr>
      <w:r>
        <w:t>Integración de herramientas: 34% de organizaciones no coordinan DR/CR</w:t>
      </w:r>
    </w:p>
    <w:p w14:paraId="6C4E52D1" w14:textId="77777777" w:rsidR="00A92797" w:rsidRDefault="00000000">
      <w:pPr>
        <w:pStyle w:val="Ttulo2"/>
      </w:pPr>
      <w:r>
        <w:rPr>
          <w:color w:val="0066CC"/>
        </w:rPr>
        <w:t>7. RECOMENDACIONES ESTRATÉGICAS POR STAKEHOLDER</w:t>
      </w:r>
    </w:p>
    <w:p w14:paraId="13CC1A2F" w14:textId="77777777" w:rsidR="00A92797" w:rsidRDefault="00000000">
      <w:pPr>
        <w:pStyle w:val="Ttulo3"/>
      </w:pPr>
      <w:r>
        <w:t>7.1 Para Administración Pública</w:t>
      </w:r>
    </w:p>
    <w:p w14:paraId="1815331A" w14:textId="77777777" w:rsidR="00A92797" w:rsidRDefault="00000000">
      <w:pPr>
        <w:pStyle w:val="Listaconnmeros"/>
        <w:keepNext/>
        <w:keepLines/>
      </w:pPr>
      <w:r>
        <w:t>Acelerar transposición NIS2 (timeline: Q2 2025 máximo)</w:t>
      </w:r>
    </w:p>
    <w:p w14:paraId="00561E80" w14:textId="77777777" w:rsidR="00A92797" w:rsidRDefault="00000000">
      <w:pPr>
        <w:pStyle w:val="Listaconnmeros"/>
        <w:keepNext/>
        <w:keepLines/>
      </w:pPr>
      <w:r>
        <w:t>Operacionalizar Centro Nacional Ciberseguridad con autoridad clara</w:t>
      </w:r>
    </w:p>
    <w:p w14:paraId="02DCD4DE" w14:textId="77777777" w:rsidR="00A92797" w:rsidRDefault="00000000">
      <w:pPr>
        <w:pStyle w:val="Listaconnmeros"/>
        <w:keepNext/>
        <w:keepLines/>
      </w:pPr>
      <w:r>
        <w:t>Invertir en I+D ciberseguridad y IA defensiva</w:t>
      </w:r>
    </w:p>
    <w:p w14:paraId="6CDEFD3F" w14:textId="77777777" w:rsidR="00A92797" w:rsidRDefault="00000000">
      <w:pPr>
        <w:pStyle w:val="Listaconnmeros"/>
        <w:keepNext/>
        <w:keepLines/>
      </w:pPr>
      <w:r>
        <w:t>Mandatar auditorías periódicas CRITIS con sanciones por incumplimiento</w:t>
      </w:r>
    </w:p>
    <w:p w14:paraId="41A655BB" w14:textId="77777777" w:rsidR="00A92797" w:rsidRDefault="00000000">
      <w:pPr>
        <w:pStyle w:val="Listaconnmeros"/>
        <w:keepLines/>
      </w:pPr>
      <w:r>
        <w:t>Establecer shared intelligence platform con operadores esenciales</w:t>
      </w:r>
    </w:p>
    <w:p w14:paraId="2533CAAA" w14:textId="77777777" w:rsidR="00A92797" w:rsidRDefault="00000000">
      <w:pPr>
        <w:pStyle w:val="Ttulo3"/>
      </w:pPr>
      <w:r>
        <w:t>7.2 Para Empresa Privada (Especialmente Crítica)</w:t>
      </w:r>
    </w:p>
    <w:p w14:paraId="4EF2AC88" w14:textId="77777777" w:rsidR="00A92797" w:rsidRDefault="00000000">
      <w:pPr>
        <w:pStyle w:val="Listaconnmeros"/>
        <w:keepNext/>
        <w:keepLines/>
      </w:pPr>
      <w:r>
        <w:t>Realizar evaluación FAIR + NIST CSF 2.0 en todos activos críticos</w:t>
      </w:r>
    </w:p>
    <w:p w14:paraId="4ED1AFE7" w14:textId="77777777" w:rsidR="00A92797" w:rsidRDefault="00000000">
      <w:pPr>
        <w:pStyle w:val="Listaconnmeros"/>
        <w:keepNext/>
        <w:keepLines/>
      </w:pPr>
      <w:r>
        <w:t>Implementar planes RTO/RPO documentados (máximo 24-72 horas)</w:t>
      </w:r>
    </w:p>
    <w:p w14:paraId="5D560A3B" w14:textId="77777777" w:rsidR="00A92797" w:rsidRDefault="00000000">
      <w:pPr>
        <w:pStyle w:val="Listaconnmeros"/>
        <w:keepNext/>
        <w:keepLines/>
      </w:pPr>
      <w:r>
        <w:t>Certificar ISO 27001 o ENS dentro de 12 meses</w:t>
      </w:r>
    </w:p>
    <w:p w14:paraId="48D3670E" w14:textId="77777777" w:rsidR="00A92797" w:rsidRDefault="00000000">
      <w:pPr>
        <w:pStyle w:val="Listaconnmeros"/>
        <w:keepNext/>
        <w:keepLines/>
      </w:pPr>
      <w:r>
        <w:t>Nombrar CISO con autoridad ejecutiva y presupuesto propio</w:t>
      </w:r>
    </w:p>
    <w:p w14:paraId="712553F5" w14:textId="77777777" w:rsidR="00A92797" w:rsidRDefault="00000000">
      <w:pPr>
        <w:pStyle w:val="Listaconnmeros"/>
        <w:keepLines/>
      </w:pPr>
      <w:r>
        <w:t>Establecer SOC o contratar MDR/XDR managed para detección 24/7</w:t>
      </w:r>
    </w:p>
    <w:p w14:paraId="4012CFF8" w14:textId="77777777" w:rsidR="00A92797" w:rsidRDefault="00000000">
      <w:pPr>
        <w:pStyle w:val="Ttulo3"/>
      </w:pPr>
      <w:r>
        <w:lastRenderedPageBreak/>
        <w:t>7.3 Para Pymes y Autónomos</w:t>
      </w:r>
    </w:p>
    <w:p w14:paraId="2CC14193" w14:textId="77777777" w:rsidR="00A92797" w:rsidRDefault="00000000">
      <w:pPr>
        <w:pStyle w:val="Listaconnmeros"/>
        <w:keepNext/>
        <w:keepLines/>
      </w:pPr>
      <w:r>
        <w:t>Participar en programas INCIBE de concienciación</w:t>
      </w:r>
    </w:p>
    <w:p w14:paraId="0CFD6E23" w14:textId="77777777" w:rsidR="00A92797" w:rsidRDefault="00000000">
      <w:pPr>
        <w:pStyle w:val="Listaconnmeros"/>
        <w:keepNext/>
        <w:keepLines/>
      </w:pPr>
      <w:r>
        <w:t>Implementar básicos (MFA, backups, EDR) antes de inversiones avanzadas</w:t>
      </w:r>
    </w:p>
    <w:p w14:paraId="7176DDFF" w14:textId="77777777" w:rsidR="00A92797" w:rsidRDefault="00000000">
      <w:pPr>
        <w:pStyle w:val="Listaconnmeros"/>
        <w:keepNext/>
        <w:keepLines/>
      </w:pPr>
      <w:r>
        <w:t>Revisar contratos proveedores por cláusulas ciberseguridad</w:t>
      </w:r>
    </w:p>
    <w:p w14:paraId="782F830F" w14:textId="77777777" w:rsidR="00A92797" w:rsidRDefault="00000000">
      <w:pPr>
        <w:pStyle w:val="Listaconnmeros"/>
        <w:keepNext/>
        <w:keepLines/>
      </w:pPr>
      <w:r>
        <w:t>Documentar incidentes para cumplir NIS2 futuro</w:t>
      </w:r>
    </w:p>
    <w:p w14:paraId="51C3C75E" w14:textId="77777777" w:rsidR="00A92797" w:rsidRDefault="00000000">
      <w:pPr>
        <w:pStyle w:val="Listaconnmeros"/>
        <w:keepLines/>
      </w:pPr>
      <w:r>
        <w:t>Acceder a seguros cibernéticos con cobertura DR/CR</w:t>
      </w:r>
    </w:p>
    <w:p w14:paraId="5EC430CC" w14:textId="77777777" w:rsidR="00A92797" w:rsidRDefault="00000000">
      <w:pPr>
        <w:pStyle w:val="Ttulo2"/>
      </w:pPr>
      <w:r>
        <w:rPr>
          <w:color w:val="0066CC"/>
        </w:rPr>
        <w:t>8. PERSPECTIVAS 2025-2026 Y RECOMENDACIONES CONTINUAS</w:t>
      </w:r>
    </w:p>
    <w:p w14:paraId="2790DF2C" w14:textId="77777777" w:rsidR="00A92797" w:rsidRDefault="00000000">
      <w:pPr>
        <w:pStyle w:val="Ttulo3"/>
      </w:pPr>
      <w:r>
        <w:t>8.1 Amenazas Emergentes Predichas</w:t>
      </w:r>
    </w:p>
    <w:p w14:paraId="7BCE6563" w14:textId="77777777" w:rsidR="00A92797" w:rsidRDefault="00000000">
      <w:pPr>
        <w:pStyle w:val="Listaconvietas"/>
        <w:keepNext/>
        <w:keepLines/>
      </w:pPr>
      <w:r>
        <w:t>APT con IA generativa: Spear-phishing más sofisticado, deepfakes</w:t>
      </w:r>
    </w:p>
    <w:p w14:paraId="38146EF7" w14:textId="77777777" w:rsidR="00A92797" w:rsidRDefault="00000000">
      <w:pPr>
        <w:pStyle w:val="Listaconvietas"/>
        <w:keepNext/>
        <w:keepLines/>
      </w:pPr>
      <w:r>
        <w:t>IoT como vector principal: 32 mil millones dispositivos previstos 2030</w:t>
      </w:r>
    </w:p>
    <w:p w14:paraId="02F1D812" w14:textId="77777777" w:rsidR="00A92797" w:rsidRDefault="00000000">
      <w:pPr>
        <w:pStyle w:val="Listaconvietas"/>
        <w:keepNext/>
        <w:keepLines/>
      </w:pPr>
      <w:r>
        <w:t>Alianzas hacktivistas: Cooperación estados + grupos activistas</w:t>
      </w:r>
    </w:p>
    <w:p w14:paraId="12FAD1F4" w14:textId="77777777" w:rsidR="00A92797" w:rsidRDefault="00000000">
      <w:pPr>
        <w:pStyle w:val="Listaconvietas"/>
        <w:keepNext/>
        <w:keepLines/>
      </w:pPr>
      <w:r>
        <w:t>BYOVD (Bring Your Own Vulnerable Driver): +23% técnica 2024; expansión predicha</w:t>
      </w:r>
    </w:p>
    <w:p w14:paraId="3B5545F3" w14:textId="77777777" w:rsidR="00A92797" w:rsidRDefault="00000000">
      <w:pPr>
        <w:pStyle w:val="Listaconvietas"/>
        <w:keepLines/>
      </w:pPr>
      <w:r>
        <w:t>Quantum computing: Post-quantum cryptography (NIST FIPS 203, ML-KEM)</w:t>
      </w:r>
    </w:p>
    <w:p w14:paraId="5169509F" w14:textId="77777777" w:rsidR="00A92797" w:rsidRDefault="00000000">
      <w:pPr>
        <w:pStyle w:val="Ttulo3"/>
      </w:pPr>
      <w:r>
        <w:t>8.2 Tendencias Positivas</w:t>
      </w:r>
    </w:p>
    <w:p w14:paraId="5046B954" w14:textId="77777777" w:rsidR="00A92797" w:rsidRDefault="00000000">
      <w:pPr>
        <w:pStyle w:val="Listaconvietas"/>
        <w:keepNext/>
        <w:keepLines/>
      </w:pPr>
      <w:r>
        <w:t>Aumento de consultas preventivas (+21,8%) indica mayor concienciación</w:t>
      </w:r>
    </w:p>
    <w:p w14:paraId="4440B5FD" w14:textId="77777777" w:rsidR="00A92797" w:rsidRDefault="00000000">
      <w:pPr>
        <w:pStyle w:val="Listaconvietas"/>
        <w:keepNext/>
        <w:keepLines/>
      </w:pPr>
      <w:r>
        <w:t>Madurez sector público (+80% evaluaciones riesgos vs 20% en 2017)</w:t>
      </w:r>
    </w:p>
    <w:p w14:paraId="01928906" w14:textId="77777777" w:rsidR="00A92797" w:rsidRDefault="00000000">
      <w:pPr>
        <w:pStyle w:val="Listaconvietas"/>
        <w:keepNext/>
        <w:keepLines/>
      </w:pPr>
      <w:r>
        <w:t>Cooperación público-privada mejorada</w:t>
      </w:r>
    </w:p>
    <w:p w14:paraId="6D9F640C" w14:textId="77777777" w:rsidR="00A92797" w:rsidRDefault="00000000">
      <w:pPr>
        <w:pStyle w:val="Listaconvietas"/>
        <w:keepLines/>
      </w:pPr>
      <w:r>
        <w:t>Inversión empresarial creciente (+44% planea aumentar 2026)</w:t>
      </w:r>
    </w:p>
    <w:p w14:paraId="16CE1B65" w14:textId="77777777" w:rsidR="00A92797" w:rsidRDefault="00000000">
      <w:pPr>
        <w:pStyle w:val="Ttulo2"/>
      </w:pPr>
      <w:r>
        <w:rPr>
          <w:color w:val="0066CC"/>
        </w:rPr>
        <w:t>9. CONCLUSIONES Y SÍNTESIS</w:t>
      </w:r>
    </w:p>
    <w:p w14:paraId="7BFDBA72" w14:textId="77777777" w:rsidR="00A92797" w:rsidRDefault="00000000">
      <w:r>
        <w:rPr>
          <w:b/>
        </w:rPr>
        <w:t>España se posiciona como modelo (Tier 1) en ciberseguridad global,</w:t>
      </w:r>
      <w:r>
        <w:t xml:space="preserve"> pero enfrenta desafíos críticos de implementación operativa, especialmente en respuesta a incidentes y continuidad de negocio. La brecha normativa con NIS2 genera riesgo de incumplimiento post-transposición.</w:t>
      </w:r>
    </w:p>
    <w:p w14:paraId="4FE68F90" w14:textId="77777777" w:rsidR="00A92797" w:rsidRDefault="00000000">
      <w:r>
        <w:rPr>
          <w:b/>
        </w:rPr>
        <w:t>Indicadores clave para 2026:</w:t>
      </w:r>
      <w:r>
        <w:br/>
        <w:t>- Transposición NIS2 completada y vigente</w:t>
      </w:r>
      <w:r>
        <w:br/>
        <w:t>- Reducción de RTO/RPO en infraestructura crítica a máximo 72h</w:t>
      </w:r>
      <w:r>
        <w:br/>
        <w:t>- 70%+ de empresas CRITIS con ISO 27001 o certificación equivalente</w:t>
      </w:r>
      <w:r>
        <w:br/>
        <w:t>- Operación Centro Nacional Ciberseguridad con plataforma notificación activa</w:t>
      </w:r>
      <w:r>
        <w:br/>
        <w:t>- Disminución de incidentes no detectados mediante IA defensiva</w:t>
      </w:r>
    </w:p>
    <w:p w14:paraId="5B1E73BB" w14:textId="77777777" w:rsidR="00A92797" w:rsidRDefault="00000000">
      <w:r>
        <w:rPr>
          <w:b/>
        </w:rPr>
        <w:t>Riesgo residual:</w:t>
      </w:r>
      <w:r>
        <w:t xml:space="preserve"> Sin medidas aceleradas, probabilidad de incidente crítico en CRITIS permanece &gt;60% en horizonte 5 años, con impacto cascada en economía y servicios esenciales.</w:t>
      </w:r>
    </w:p>
    <w:p w14:paraId="3A4AC6C5" w14:textId="77777777" w:rsidR="00A92797" w:rsidRDefault="00000000">
      <w:pPr>
        <w:pStyle w:val="Ttulo2"/>
      </w:pPr>
      <w:r>
        <w:rPr>
          <w:color w:val="0066CC"/>
        </w:rPr>
        <w:lastRenderedPageBreak/>
        <w:t>REFERENCIAS FUENTES PRIMARIAS</w:t>
      </w:r>
    </w:p>
    <w:p w14:paraId="61B83461" w14:textId="77777777" w:rsidR="00A92797" w:rsidRDefault="00000000">
      <w:pPr>
        <w:pStyle w:val="Listaconvietas"/>
        <w:keepNext/>
        <w:keepLines/>
      </w:pPr>
      <w:r>
        <w:t>INCIBE (2025). Balance de Ciberseguridad 2024</w:t>
      </w:r>
    </w:p>
    <w:p w14:paraId="72BE4BA5" w14:textId="77777777" w:rsidR="00A92797" w:rsidRDefault="00000000">
      <w:pPr>
        <w:pStyle w:val="Listaconvietas"/>
        <w:keepNext/>
        <w:keepLines/>
      </w:pPr>
      <w:r>
        <w:t>ENISA (2024-2025). Informes NIS360 y European Cybersecurity Landscape</w:t>
      </w:r>
    </w:p>
    <w:p w14:paraId="0968F40D" w14:textId="77777777" w:rsidR="00A92797" w:rsidRDefault="00000000">
      <w:pPr>
        <w:pStyle w:val="Listaconvietas"/>
        <w:keepNext/>
        <w:keepLines/>
      </w:pPr>
      <w:r>
        <w:t>UIT (2024). Global Cybersecurity Index</w:t>
      </w:r>
    </w:p>
    <w:p w14:paraId="1A675AFC" w14:textId="77777777" w:rsidR="00A92797" w:rsidRDefault="00000000">
      <w:pPr>
        <w:pStyle w:val="Listaconvietas"/>
        <w:keepNext/>
        <w:keepLines/>
      </w:pPr>
      <w:r>
        <w:t>NIST (2023-2024). Cybersecurity Framework 2.0</w:t>
      </w:r>
    </w:p>
    <w:p w14:paraId="0A1A3B3C" w14:textId="77777777" w:rsidR="00A92797" w:rsidRDefault="00000000">
      <w:pPr>
        <w:pStyle w:val="Listaconvietas"/>
        <w:keepNext/>
        <w:keepLines/>
      </w:pPr>
      <w:r>
        <w:t>Comisión Europea. Directiva NIS2 y Reglamento Ciberresiliencia</w:t>
      </w:r>
    </w:p>
    <w:p w14:paraId="2B5F1D6D" w14:textId="77777777" w:rsidR="00A92797" w:rsidRDefault="00000000">
      <w:pPr>
        <w:pStyle w:val="Listaconvietas"/>
        <w:keepNext/>
        <w:keepLines/>
      </w:pPr>
      <w:r>
        <w:t>CCN-CERT. Informes Ciberamenazas y Tendencias 2024-2025</w:t>
      </w:r>
    </w:p>
    <w:p w14:paraId="7AF8B403" w14:textId="77777777" w:rsidR="00A92797" w:rsidRDefault="00000000">
      <w:pPr>
        <w:pStyle w:val="Listaconvietas"/>
        <w:keepNext/>
        <w:keepLines/>
      </w:pPr>
      <w:r>
        <w:t>Cipher x63 Unit / Zerod. Análisis de Infraestructuras Críticas España</w:t>
      </w:r>
    </w:p>
    <w:p w14:paraId="321ED9FE" w14:textId="77777777" w:rsidR="00A92797" w:rsidRDefault="00000000">
      <w:pPr>
        <w:pStyle w:val="Listaconvietas"/>
        <w:keepLines/>
      </w:pPr>
      <w:r>
        <w:t>ONTSI/Administración Electrónica. Indicadores Ciberseguridad Nacional</w:t>
      </w:r>
    </w:p>
    <w:p w14:paraId="649DA556" w14:textId="64153F0B" w:rsidR="00A92797" w:rsidRDefault="00000000">
      <w:proofErr w:type="spellStart"/>
      <w:r>
        <w:rPr>
          <w:b/>
        </w:rPr>
        <w:t>Fecha</w:t>
      </w:r>
      <w:proofErr w:type="spellEnd"/>
      <w:r>
        <w:rPr>
          <w:b/>
        </w:rPr>
        <w:t>:</w:t>
      </w:r>
      <w:r>
        <w:t xml:space="preserve"> </w:t>
      </w:r>
      <w:proofErr w:type="spellStart"/>
      <w:r>
        <w:t>Enero</w:t>
      </w:r>
      <w:proofErr w:type="spellEnd"/>
      <w:r>
        <w:t xml:space="preserve"> 2026</w:t>
      </w:r>
      <w:r>
        <w:br/>
      </w:r>
      <w:proofErr w:type="spellStart"/>
      <w:r>
        <w:rPr>
          <w:b/>
        </w:rPr>
        <w:t>Clasificación</w:t>
      </w:r>
      <w:proofErr w:type="spellEnd"/>
      <w:r>
        <w:rPr>
          <w:b/>
        </w:rPr>
        <w:t>:</w:t>
      </w:r>
      <w:r>
        <w:t xml:space="preserve"> Uso Estratégico - Ejecutivos/Decisores</w:t>
      </w:r>
      <w:r>
        <w:br/>
      </w:r>
      <w:r>
        <w:rPr>
          <w:b/>
        </w:rPr>
        <w:t>Próxima Revisión:</w:t>
      </w:r>
      <w:r>
        <w:t xml:space="preserve"> Junio 2026</w:t>
      </w:r>
    </w:p>
    <w:p w14:paraId="0EDCB9B3" w14:textId="77777777" w:rsidR="00A92797" w:rsidRDefault="00000000">
      <w:r>
        <w:rPr>
          <w:i/>
        </w:rPr>
        <w:t>Aviso: Este informe sintetiza datos públicos de fuentes académicas, gubernamentales e institucionales. Uso exclusivamente para propósitos de gobernanza, cumplimiento normativo y planeamiento estratégico.</w:t>
      </w:r>
    </w:p>
    <w:sectPr w:rsidR="00A92797"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7818F" w14:textId="77777777" w:rsidR="00A504FD" w:rsidRDefault="00A504FD">
      <w:pPr>
        <w:spacing w:after="0" w:line="240" w:lineRule="auto"/>
      </w:pPr>
      <w:r>
        <w:separator/>
      </w:r>
    </w:p>
  </w:endnote>
  <w:endnote w:type="continuationSeparator" w:id="0">
    <w:p w14:paraId="6183B305" w14:textId="77777777" w:rsidR="00A504FD" w:rsidRDefault="00A50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12C2" w14:textId="77777777" w:rsidR="00A504FD" w:rsidRDefault="00A504FD">
      <w:pPr>
        <w:spacing w:after="0" w:line="240" w:lineRule="auto"/>
      </w:pPr>
      <w:r>
        <w:separator/>
      </w:r>
    </w:p>
  </w:footnote>
  <w:footnote w:type="continuationSeparator" w:id="0">
    <w:p w14:paraId="796205BC" w14:textId="77777777" w:rsidR="00A504FD" w:rsidRDefault="00A50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8776" w14:textId="77777777" w:rsidR="00A92797" w:rsidRDefault="00000000">
    <w:pPr>
      <w:pStyle w:val="Encabezado"/>
      <w:jc w:val="center"/>
    </w:pPr>
    <w:r>
      <w:rPr>
        <w:noProof/>
      </w:rPr>
      <w:drawing>
        <wp:inline distT="0" distB="0" distL="0" distR="0" wp14:anchorId="5AAE53F6" wp14:editId="6CD7D9DC">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244FA4A4" w14:textId="77777777" w:rsidR="00A92797" w:rsidRDefault="00A92797">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8248384">
    <w:abstractNumId w:val="8"/>
  </w:num>
  <w:num w:numId="2" w16cid:durableId="1358193399">
    <w:abstractNumId w:val="6"/>
  </w:num>
  <w:num w:numId="3" w16cid:durableId="1860073904">
    <w:abstractNumId w:val="5"/>
  </w:num>
  <w:num w:numId="4" w16cid:durableId="777213694">
    <w:abstractNumId w:val="4"/>
  </w:num>
  <w:num w:numId="5" w16cid:durableId="1077748046">
    <w:abstractNumId w:val="7"/>
  </w:num>
  <w:num w:numId="6" w16cid:durableId="1631667101">
    <w:abstractNumId w:val="3"/>
  </w:num>
  <w:num w:numId="7" w16cid:durableId="2081558291">
    <w:abstractNumId w:val="2"/>
  </w:num>
  <w:num w:numId="8" w16cid:durableId="1731272115">
    <w:abstractNumId w:val="1"/>
  </w:num>
  <w:num w:numId="9" w16cid:durableId="34355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3EA5"/>
    <w:rsid w:val="00750828"/>
    <w:rsid w:val="00A504FD"/>
    <w:rsid w:val="00A927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627D5"/>
  <w14:defaultImageDpi w14:val="300"/>
  <w15:docId w15:val="{2047085B-3512-45DC-A185-4A4A1217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1794</Words>
  <Characters>11882</Characters>
  <Application>Microsoft Office Word</Application>
  <DocSecurity>0</DocSecurity>
  <Lines>424</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2026-04-11T04:38:00Z</dcterms:created>
  <dcterms:modified xsi:type="dcterms:W3CDTF">2026-04-11T04:38:00Z</dcterms:modified>
  <cp:category/>
</cp:coreProperties>
</file>