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📐 GUÍA METODOLÓGICA DETALLADA</w:t>
      </w:r>
    </w:p>
    <w:p>
      <w:pPr>
        <w:pStyle w:val="Heading2"/>
        <w:keepNext/>
        <w:keepLines/>
      </w:pPr>
      <w:r>
        <w:rPr>
          <w:color w:val="0066CC"/>
        </w:rPr>
        <w:t>Encuesta sobre Madurez en Gestión de Vulnerabilidades CVSS 4.0 · España 2025–2026</w:t>
      </w:r>
    </w:p>
    <w:p>
      <w:r>
        <w:rPr>
          <w:i/>
        </w:rPr>
        <w:t>"La metodología es la honestidad de la ciencia. Una investigación sin metodología es una opinión bien vestida."</w:t>
      </w:r>
    </w:p>
    <w:p>
      <w:pPr>
        <w:pStyle w:val="Heading2"/>
        <w:keepNext/>
        <w:keepLines/>
      </w:pPr>
      <w:r>
        <w:rPr>
          <w:color w:val="0066CC"/>
        </w:rPr>
        <w:t>1. FUNDAMENTOS EPISTEMOLÓGICOS Y DISEÑO DE INVESTIGACIÓN</w:t>
      </w:r>
    </w:p>
    <w:p>
      <w:pPr>
        <w:pStyle w:val="Heading3"/>
        <w:keepNext/>
        <w:keepLines/>
      </w:pPr>
      <w:r>
        <w:t>1.1 Paradigma de Investigación</w:t>
      </w:r>
    </w:p>
    <w:p>
      <w:r>
        <w:t xml:space="preserve">La presente encuesta se enmarca en un paradigma </w:t>
      </w:r>
      <w:r>
        <w:rPr>
          <w:b/>
        </w:rPr>
        <w:t>mixto</w:t>
      </w:r>
      <w:r>
        <w:t xml:space="preserve"> que combina:</w:t>
      </w:r>
    </w:p>
    <w:p>
      <w:pPr>
        <w:pStyle w:val="ListBullet"/>
        <w:keepLines w:val="1"/>
        <w:keepNext w:val="1"/>
        <w:widowControl w:val="1"/>
      </w:pPr>
      <w:r>
        <w:t>Enfoque cuantitativo (Secciones 1–9 con escalas Likert y opciones cerradas): permite comparación estadística entre organizaciones, sectores y CCAA, así como el cálculo del Índice de Madurez Global (IGM).</w:t>
      </w:r>
    </w:p>
    <w:p>
      <w:pPr>
        <w:pStyle w:val="ListBullet"/>
        <w:keepLines w:val="1"/>
        <w:widowControl w:val="1"/>
      </w:pPr>
      <w:r>
        <w:t>Enfoque cualitativo (Preguntas abiertas P3.5, P6.5, P10.5, P10.6): captura matices, experiencias contextuales y propuestas de mejora no codificables en opciones cerradas.</w:t>
      </w:r>
    </w:p>
    <w:p>
      <w:pPr>
        <w:pStyle w:val="Heading3"/>
        <w:keepNext/>
        <w:keepLines/>
      </w:pPr>
      <w:r>
        <w:t>1.2 Tipo de Estudio</w:t>
      </w:r>
    </w:p>
    <w:p>
      <w:pPr>
        <w:pStyle w:val="ListBullet"/>
        <w:keepLines w:val="1"/>
        <w:keepNext w:val="1"/>
        <w:widowControl w:val="1"/>
      </w:pPr>
      <w:r>
        <w:t>Diseño: Transversal descriptivo con componente analítico</w:t>
      </w:r>
    </w:p>
    <w:p>
      <w:pPr>
        <w:pStyle w:val="ListBullet"/>
        <w:keepLines w:val="1"/>
        <w:keepNext w:val="1"/>
        <w:widowControl w:val="1"/>
      </w:pPr>
      <w:r>
        <w:t>Alcance temporal: Instantánea del estado de madurez (abril 2026), con posibilidad de réplica anual para análisis longitudinal</w:t>
      </w:r>
    </w:p>
    <w:p>
      <w:pPr>
        <w:pStyle w:val="ListBullet"/>
        <w:keepLines w:val="1"/>
        <w:widowControl w:val="1"/>
      </w:pPr>
      <w:r>
        <w:t>Unidad de análisis: La organización (no el individuo), aunque el informante clave sea una persona con responsabilidad directiva en seguridad</w:t>
      </w:r>
    </w:p>
    <w:p>
      <w:pPr>
        <w:pStyle w:val="Heading3"/>
        <w:keepNext/>
        <w:keepLines/>
      </w:pPr>
      <w:r>
        <w:t>1.3 Marco Conceptual</w:t>
      </w:r>
    </w:p>
    <w:p>
      <w:r>
        <w:t>El instrumento se fundamenta en tres pilares teórico-normativos:</w:t>
      </w:r>
    </w:p>
    <w:p>
      <w:pPr>
        <w:pStyle w:val="ListNumber"/>
        <w:keepLines w:val="1"/>
        <w:keepNext w:val="1"/>
        <w:widowControl w:val="1"/>
      </w:pPr>
      <w:r>
        <w:t>CVSS v4.0 Specification Document y Consumer Implementation Guide (FIRST, 2023–2026): fuente primaria de la taxonomía de métricas y su función en el ciclo de vida de gestión de vulnerabilidades.</w:t>
      </w:r>
    </w:p>
    <w:p>
      <w:pPr>
        <w:pStyle w:val="ListNumber"/>
        <w:keepLines w:val="1"/>
        <w:keepNext w:val="1"/>
        <w:widowControl w:val="1"/>
      </w:pPr>
      <w:r>
        <w:t>Marco normativo español y europeo: ENS (RD 311/2022), NIS2 (Directiva UE 2022/2555), DORA (Reglamento UE 2022/2554), CRA (Reglamento UE 2024/2847), EUVD (ENISA, 2025).</w:t>
      </w:r>
    </w:p>
    <w:p>
      <w:pPr>
        <w:pStyle w:val="ListNumber"/>
        <w:keepLines w:val="1"/>
        <w:widowControl w:val="1"/>
      </w:pPr>
      <w:r>
        <w:t>Modelos de madurez en gestión de vulnerabilidades: CMMI, OWASP SAMM, NIST SSDF, modelos académicos revisados por pares.</w:t>
      </w:r>
    </w:p>
    <w:p>
      <w:pPr>
        <w:pStyle w:val="Heading2"/>
        <w:keepNext/>
        <w:keepLines/>
      </w:pPr>
      <w:r>
        <w:rPr>
          <w:color w:val="0066CC"/>
        </w:rPr>
        <w:t>2. DISEÑO MUESTRAL</w:t>
      </w:r>
    </w:p>
    <w:p>
      <w:pPr>
        <w:pStyle w:val="Heading3"/>
        <w:keepNext/>
        <w:keepLines/>
      </w:pPr>
      <w:r>
        <w:t>2.1 Población Objetivo</w:t>
      </w:r>
    </w:p>
    <w:p>
      <w:r>
        <w:rPr>
          <w:b/>
        </w:rPr>
        <w:t>Universo:</w:t>
      </w:r>
      <w:r>
        <w:t xml:space="preserve"> Todas las organizaciones con presencia operativa en España que gestionen activos de información TI/OT/IoT, incluyendo:</w:t>
      </w:r>
      <w:r/>
      <w:r>
        <w:br/>
        <w:t>- Administración Pública (AGE, CCAA, entidades locales, universidades)</w:t>
      </w:r>
      <w:r/>
      <w:r>
        <w:br/>
        <w:t>- Sector privado regulado (financiero, energético, sanitario, telecomunicaciones, transporte)</w:t>
      </w:r>
      <w:r/>
      <w:r>
        <w:br/>
        <w:t>- Sector privado no regulado con activos críticos</w:t>
      </w:r>
      <w:r/>
      <w:r>
        <w:br/>
        <w:t>- Proveedores de servicios gestionados de seguridad (MSSP)</w:t>
      </w:r>
    </w:p>
    <w:p>
      <w:r>
        <w:rPr>
          <w:b/>
        </w:rPr>
        <w:t>Informante clave:</w:t>
      </w:r>
      <w:r>
        <w:t xml:space="preserve"> Responsable de Seguridad de la Información (CISO/RSSI/Responsable ENS) o equivalente con responsabilidad directa en gestión de vulnerabilidades.</w:t>
      </w:r>
    </w:p>
    <w:p>
      <w:pPr>
        <w:pStyle w:val="Heading3"/>
        <w:keepNext/>
        <w:keepLines/>
      </w:pPr>
      <w:r>
        <w:t>2.2 Marco Muestral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Segmento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de inclusión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Tamaño mínimo recomendado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AGE y organismos dependientes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Obligatoriedad ENS + CCN-CERT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Comunidades Autónomas (17+2)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Gobierno autonómico + consejería TI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60 (3–4 por CCAA)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Entidades Locales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Ayuntamientos &gt;50.000 hab.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Hospitales y red sanitaria pública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ENS + NIS2 entidad esencial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Universidades públicas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ENS obligatorio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Sector financiero (DORA)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Entidades sujetas a DORA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Sector energético (NIS2)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Operadores esenciales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Sector telecomunicaciones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Operadores esenciales NIS2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PYMES y empresas privadas general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NIS2 entidades importantes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MSSP y consultoras de ciberseguridad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Perspectiva experta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 MÍNIMO</w:t>
            </w:r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  <w:tc>
          <w:tcPr>
            <w:tcW w:type="dxa" w:w="3120"/>
          </w:tcPr>
          <w:p>
            <w:pPr>
              <w:keepLines w:val="1"/>
            </w:pPr>
            <w:r>
              <w:t>525</w:t>
            </w:r>
          </w:p>
        </w:tc>
      </w:tr>
    </w:tbl>
    <w:p/>
    <w:p>
      <w:pPr>
        <w:pStyle w:val="Heading3"/>
        <w:keepNext/>
        <w:keepLines/>
      </w:pPr>
      <w:r>
        <w:t>2.3 Técnica de Muestreo</w:t>
      </w:r>
    </w:p>
    <w:p>
      <w:r>
        <w:t xml:space="preserve">Se recomienda </w:t>
      </w:r>
      <w:r>
        <w:rPr>
          <w:b/>
        </w:rPr>
        <w:t>muestreo estratificado proporcional</w:t>
      </w:r>
      <w:r>
        <w:t xml:space="preserve"> con afijación óptima (mayor representación en estratos con mayor varianza esperada: entidades locales y PYMES, por mayor heterogeneidad de madurez).</w:t>
      </w:r>
    </w:p>
    <w:p>
      <w:r>
        <w:t xml:space="preserve">Para el sector público: </w:t>
      </w:r>
      <w:r>
        <w:rPr>
          <w:b/>
        </w:rPr>
        <w:t>censo</w:t>
      </w:r>
      <w:r>
        <w:t xml:space="preserve"> de las entidades de mayor tamaño (&gt;5.000 empleados) + muestra aleatoria simple del resto.</w:t>
      </w:r>
    </w:p>
    <w:p>
      <w:pPr>
        <w:pStyle w:val="Heading3"/>
        <w:keepNext/>
        <w:keepLines/>
      </w:pPr>
      <w:r>
        <w:t>2.4 Tamaño Muestral y Error</w:t>
      </w:r>
    </w:p>
    <w:p>
      <w:r>
        <w:t>Con (n = 525) y asumiendo varianza máxima ((p = q = 0.5)):</w:t>
      </w:r>
      <w:r/>
      <w:r>
        <w:br/>
        <w:t>[e = z_{\alpha/2} \cdot \sqrt{\frac{p \cdot q}{n}} = 1.96 \cdot \sqrt{\frac{0.25}{525}} \approx \pm 4.3\%]</w:t>
      </w:r>
    </w:p>
    <w:p>
      <w:r>
        <w:t>Con nivel de confianza del 95%. Para análisis por CCAA se recomienda mínimo de 30 casos por comunidad.</w:t>
      </w:r>
    </w:p>
    <w:p>
      <w:pPr>
        <w:pStyle w:val="Heading2"/>
        <w:keepNext/>
        <w:keepLines/>
      </w:pPr>
      <w:r>
        <w:rPr>
          <w:color w:val="0066CC"/>
        </w:rPr>
        <w:t>3. INSTRUMENTO: ESTRUCTURA Y DECISIONES DE DISEÑO</w:t>
      </w:r>
    </w:p>
    <w:p>
      <w:pPr>
        <w:pStyle w:val="Heading3"/>
        <w:keepNext/>
        <w:keepLines/>
      </w:pPr>
      <w:r>
        <w:t>3.1 Justificación de las Escalas</w:t>
      </w:r>
    </w:p>
    <w:p>
      <w:r>
        <w:rPr>
          <w:b/>
        </w:rPr>
        <w:t>Escala Likert 1–5:</w:t>
      </w:r>
      <w:r>
        <w:t xml:space="preserve"> Utilizada en preguntas de actitud/percepción y valoración de madurez. Se ha optado por escala impar (con punto medio neutral) para no forzar posicionamiento en preguntas donde la ambivalencia es legítima.</w:t>
      </w:r>
    </w:p>
    <w:p>
      <w:r>
        <w:rPr>
          <w:b/>
        </w:rPr>
        <w:t>Escala de madurez 1–5 (secciones 4.6, 5.6, 6.4, 9.6):</w:t>
      </w:r>
      <w:r>
        <w:t xml:space="preserve"> Inspirada en el Capability Maturity Model Integration (CMMI), con descriptores:</w:t>
      </w:r>
      <w:r/>
      <w:r>
        <w:br/>
        <w:t xml:space="preserve">- </w:t>
      </w:r>
      <w:r>
        <w:rPr>
          <w:b/>
        </w:rPr>
        <w:t>1 — Inexistente:</w:t>
      </w:r>
      <w:r>
        <w:t xml:space="preserve"> Sin proceso reconocible</w:t>
      </w:r>
      <w:r/>
      <w:r>
        <w:br/>
        <w:t xml:space="preserve">- </w:t>
      </w:r>
      <w:r>
        <w:rPr>
          <w:b/>
        </w:rPr>
        <w:t>2 — Inicial:</w:t>
      </w:r>
      <w:r>
        <w:t xml:space="preserve"> Ad hoc, dependiente de personas clave</w:t>
      </w:r>
      <w:r/>
      <w:r>
        <w:br/>
        <w:t xml:space="preserve">- </w:t>
      </w:r>
      <w:r>
        <w:rPr>
          <w:b/>
        </w:rPr>
        <w:t>3 — Definido:</w:t>
      </w:r>
      <w:r>
        <w:t xml:space="preserve"> Documentado y repetible</w:t>
      </w:r>
      <w:r/>
      <w:r>
        <w:br/>
        <w:t xml:space="preserve">- </w:t>
      </w:r>
      <w:r>
        <w:rPr>
          <w:b/>
        </w:rPr>
        <w:t>4 — Gestionado:</w:t>
      </w:r>
      <w:r>
        <w:t xml:space="preserve"> Medido y controlado con KPIs</w:t>
      </w:r>
      <w:r/>
      <w:r>
        <w:br/>
        <w:t xml:space="preserve">- </w:t>
      </w:r>
      <w:r>
        <w:rPr>
          <w:b/>
        </w:rPr>
        <w:t>5 — Optimizado:</w:t>
      </w:r>
      <w:r>
        <w:t xml:space="preserve"> Mejora continua y benchmarking activo</w:t>
      </w:r>
    </w:p>
    <w:p>
      <w:r>
        <w:rPr>
          <w:b/>
        </w:rPr>
        <w:t>Escala 1–10 (Sección 11):</w:t>
      </w:r>
      <w:r>
        <w:t xml:space="preserve"> Para percepción global, permite mayor discriminación y facilita comparación con benchmarks sectoriales internacionales.</w:t>
      </w:r>
    </w:p>
    <w:p>
      <w:pPr>
        <w:pStyle w:val="Heading3"/>
        <w:keepNext/>
        <w:keepLines/>
      </w:pPr>
      <w:r>
        <w:t>3.2 Estructura de Flujo y Bifurcaciones</w:t>
      </w:r>
    </w:p>
    <w:p>
      <w:r>
        <w:t>El cuestionario incluye las siguientes bifurcaciones condicionales (recomendadas en implementación digital):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P1.7 [No sujeto ENS] → saltar P1.8</w:t>
        <w:br/>
        <w:t>P2.3 [No CVSS] → saltar Secciones 3-6 → pasar a P7.1</w:t>
        <w:br/>
        <w:t>P2.4 [ya usa v4] → saltar P2.4 (no aplica)</w:t>
        <w:br/>
        <w:t>P3.4 [no operan OT] → saltar al final de P3.4</w:t>
        <w:br/>
        <w:t>P6.2 [no infraestructuras con impacto físico] → saltar P6.3</w:t>
        <w:br/>
        <w:t>P7.3 [no sujeto DORA] → marcar N/A</w:t>
        <w:br/>
      </w:r>
    </w:p>
    <w:p>
      <w:pPr>
        <w:pStyle w:val="Heading3"/>
        <w:keepNext/>
        <w:keepLines/>
      </w:pPr>
      <w:r>
        <w:t>3.3 Tiempo de Respuesta por Sección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Tiempo estimado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 Perfil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3–4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 Conocimiento CVSS 4.0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5–6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 Métricas Base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4–5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4. Métricas Threat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4–5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5. Métricas Environmental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5–6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6. Métricas Supplemental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4–5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7. Marco normativo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4–5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8. Infraestructura tecnológica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4–5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9. Gobierno y cultura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4–5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10. Perspectiva estratégica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6–8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11. IGM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2–3 min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64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45–57 min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PROCESO DE RECOGIDA DE DATOS</w:t>
      </w:r>
    </w:p>
    <w:p>
      <w:pPr>
        <w:pStyle w:val="Heading3"/>
        <w:keepNext/>
        <w:keepLines/>
      </w:pPr>
      <w:r>
        <w:t>4.1 Modalidades de Aplicación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Modalidad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Ventajas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Limitaciones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Online (LimeSurvey/Google Forms/Qualtrics)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Escalabilidad, costes bajos, automatización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Menor tasa de respuesta sin incentivos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Primaria para sector privado y PYMES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Entrevista estructurada (presencial/videoconferencia)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Mayor profundidad, menor abandono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Costes elevados, sesgo del entrevistador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Preferente para AGE, CCAA grandes y hospitales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Panel de expertos (Delphi complementario)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Validación de hallazgos con expertos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No representativo estadísticamente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Complementario para preguntas abiertas</w:t>
            </w:r>
          </w:p>
        </w:tc>
      </w:tr>
    </w:tbl>
    <w:p/>
    <w:p>
      <w:pPr>
        <w:pStyle w:val="Heading3"/>
        <w:keepNext/>
        <w:keepLines/>
      </w:pPr>
      <w:r>
        <w:t>4.2 Periodo de Recogida Recomendado</w:t>
      </w:r>
    </w:p>
    <w:p>
      <w:pPr>
        <w:pStyle w:val="ListBullet"/>
        <w:keepLines w:val="1"/>
        <w:keepNext w:val="1"/>
        <w:widowControl w:val="1"/>
      </w:pPr>
      <w:r>
        <w:t>Pretest/Piloto: 2 semanas con 20–30 casos de distintos segmentos</w:t>
      </w:r>
    </w:p>
    <w:p>
      <w:pPr>
        <w:pStyle w:val="ListBullet"/>
        <w:keepLines w:val="1"/>
        <w:keepNext w:val="1"/>
        <w:widowControl w:val="1"/>
      </w:pPr>
      <w:r>
        <w:t>Campo principal: 8–10 semanas</w:t>
      </w:r>
    </w:p>
    <w:p>
      <w:pPr>
        <w:pStyle w:val="ListBullet"/>
        <w:keepLines w:val="1"/>
        <w:keepNext w:val="1"/>
        <w:widowControl w:val="1"/>
      </w:pPr>
      <w:r>
        <w:t>Recordatorios: Semanas 3 y 6 del periodo de campo</w:t>
      </w:r>
    </w:p>
    <w:p>
      <w:pPr>
        <w:pStyle w:val="ListBullet"/>
        <w:keepLines w:val="1"/>
        <w:widowControl w:val="1"/>
      </w:pPr>
      <w:r>
        <w:t>Cierre: Verificación y limpieza de datos: 2 semanas adicionales</w:t>
      </w:r>
    </w:p>
    <w:p>
      <w:pPr>
        <w:pStyle w:val="Heading3"/>
        <w:keepNext/>
        <w:keepLines/>
      </w:pPr>
      <w:r>
        <w:t>4.3 Consideraciones Éticas y RGPD</w:t>
      </w:r>
    </w:p>
    <w:p>
      <w:pPr>
        <w:pStyle w:val="ListBullet"/>
        <w:keepLines w:val="1"/>
        <w:keepNext w:val="1"/>
        <w:widowControl w:val="1"/>
      </w:pPr>
      <w:r>
        <w:t>Consentimiento informado explícito antes de iniciar el cuestionario</w:t>
      </w:r>
    </w:p>
    <w:p>
      <w:pPr>
        <w:pStyle w:val="ListBullet"/>
        <w:keepLines w:val="1"/>
        <w:keepNext w:val="1"/>
        <w:widowControl w:val="1"/>
      </w:pPr>
      <w:r>
        <w:t>Tratamiento anonimizado: ninguna respuesta individual identificable en informes</w:t>
      </w:r>
    </w:p>
    <w:p>
      <w:pPr>
        <w:pStyle w:val="ListBullet"/>
        <w:keepLines w:val="1"/>
        <w:keepNext w:val="1"/>
        <w:widowControl w:val="1"/>
      </w:pPr>
      <w:r>
        <w:t>Datos almacenados en servidores dentro de la UE</w:t>
      </w:r>
    </w:p>
    <w:p>
      <w:pPr>
        <w:pStyle w:val="ListBullet"/>
        <w:keepLines w:val="1"/>
        <w:keepNext w:val="1"/>
        <w:widowControl w:val="1"/>
      </w:pPr>
      <w:r>
        <w:t>Responsable del tratamiento: entidad investigadora (citar)</w:t>
      </w:r>
    </w:p>
    <w:p>
      <w:pPr>
        <w:pStyle w:val="ListBullet"/>
        <w:keepLines w:val="1"/>
        <w:keepNext w:val="1"/>
        <w:widowControl w:val="1"/>
      </w:pPr>
      <w:r>
        <w:t>Plazo de conservación: máximo 5 años para análisis longitudinal</w:t>
      </w:r>
    </w:p>
    <w:p>
      <w:pPr>
        <w:pStyle w:val="ListBullet"/>
        <w:keepLines w:val="1"/>
        <w:widowControl w:val="1"/>
      </w:pPr>
      <w:r>
        <w:t>Base legal: interés legítimo en investigación científica (Art. 6.1.f RGPD)</w:t>
      </w:r>
    </w:p>
    <w:p>
      <w:pPr>
        <w:pStyle w:val="Heading2"/>
        <w:keepNext/>
        <w:keepLines/>
      </w:pPr>
      <w:r>
        <w:rPr>
          <w:color w:val="0066CC"/>
        </w:rPr>
        <w:t>5. CODIFICACIÓN Y ANÁLISIS DE DATOS</w:t>
      </w:r>
    </w:p>
    <w:p>
      <w:pPr>
        <w:pStyle w:val="Heading3"/>
        <w:keepNext/>
        <w:keepLines/>
      </w:pPr>
      <w:r>
        <w:t>5.1 Libro de Códigos</w:t>
      </w:r>
    </w:p>
    <w:p>
      <w:r>
        <w:rPr>
          <w:b/>
        </w:rPr>
        <w:t>Variables sociodemográficas (Sección 1):</w:t>
      </w:r>
      <w:r>
        <w:t xml:space="preserve"> Nominales/ordinales, análisis descriptivo y como variables de agrupación.</w:t>
      </w:r>
    </w:p>
    <w:p>
      <w:r>
        <w:rPr>
          <w:b/>
        </w:rPr>
        <w:t>Variables de conocimiento (Sección 2):</w:t>
      </w:r>
      <w:r>
        <w:t xml:space="preserve"> Ordinales, análisis de frecuencias + prueba Chi-cuadrado para independencia con variables de perfil.</w:t>
      </w:r>
    </w:p>
    <w:p>
      <w:r>
        <w:rPr>
          <w:b/>
        </w:rPr>
        <w:t>Escalas Likert (Secciones 3–9):</w:t>
      </w:r>
      <w:r>
        <w:t xml:space="preserve"> Análisis factorial exploratorio (AFE) para validar constructos latentes de madurez. Prueba de Bartlett y KMO ≥ 0.7 como criterio de adecuación muestral.</w:t>
      </w:r>
    </w:p>
    <w:p>
      <w:r>
        <w:rPr>
          <w:b/>
        </w:rPr>
        <w:t>Índice de Madurez Global (IGM):</w:t>
      </w:r>
      <w:r>
        <w:t xml:space="preserve"> Promedio ponderado de las escalas 1–5 de las secciones 4.6, 5.6, 6.4, 7.6 y 9.6. Ver Plantilla Excel (documento e).</w:t>
      </w:r>
    </w:p>
    <w:p>
      <w:pPr>
        <w:pStyle w:val="Heading3"/>
        <w:keepNext/>
        <w:keepLines/>
      </w:pPr>
      <w:r>
        <w:t>5.2 Análisis Estadísticos Recomendados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Técnica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Variables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Perfil de madurez por sector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ANOVA + Scheffé post-hoc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IGM × tipo organización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Diferencias por tamaño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Kruskal-Wallis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IGM × número empleados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Diferencias por CCAA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ANOVA factorial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IGM × comunidad autónoma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Predictores de madurez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Regresión múltiple ordinal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IGM ~ CMDB + Threat intel + formación + herramientas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Análisis de conglomerados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K-means / hierarchical clustering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Perfiles de madurez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Análisis de texto libre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NLP / análisis de contenido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P3.5, P6.5, P10.5, P10.6</w:t>
            </w:r>
          </w:p>
        </w:tc>
      </w:tr>
    </w:tbl>
    <w:p/>
    <w:p>
      <w:pPr>
        <w:pStyle w:val="Heading3"/>
        <w:keepNext/>
        <w:keepLines/>
      </w:pPr>
      <w:r>
        <w:t>5.3 Tratamiento de Respuestas Ausentes</w:t>
      </w:r>
    </w:p>
    <w:p>
      <w:pPr>
        <w:pStyle w:val="ListBullet"/>
        <w:keepLines w:val="1"/>
        <w:keepNext w:val="1"/>
        <w:widowControl w:val="1"/>
      </w:pPr>
      <w:r>
        <w:t>Missing completamente aleatorio (MCAR): Imputación por media de la escala</w:t>
      </w:r>
    </w:p>
    <w:p>
      <w:pPr>
        <w:pStyle w:val="ListBullet"/>
        <w:keepLines w:val="1"/>
        <w:keepNext w:val="1"/>
        <w:widowControl w:val="1"/>
      </w:pPr>
      <w:r>
        <w:t>Missing sistemático (MAR): Imputación múltiple con variables correlacionadas</w:t>
      </w:r>
    </w:p>
    <w:p>
      <w:pPr>
        <w:pStyle w:val="ListBullet"/>
        <w:keepLines w:val="1"/>
        <w:keepNext w:val="1"/>
        <w:widowControl w:val="1"/>
      </w:pPr>
      <w:r>
        <w:t>Preguntas N/A legítimas: Excluidas del análisis de la dimensión específica, no del IGM general</w:t>
      </w:r>
    </w:p>
    <w:p>
      <w:pPr>
        <w:pStyle w:val="ListBullet"/>
        <w:keepLines w:val="1"/>
        <w:widowControl w:val="1"/>
      </w:pPr>
      <w:r>
        <w:t>Umbral de exclusión: Cuestionarios con más del 30% de items sin respuesta</w:t>
      </w:r>
    </w:p>
    <w:p>
      <w:pPr>
        <w:pStyle w:val="Heading2"/>
        <w:keepNext/>
        <w:keepLines/>
      </w:pPr>
      <w:r>
        <w:rPr>
          <w:color w:val="0066CC"/>
        </w:rPr>
        <w:t>6. VALIDEZ Y FIABILIDAD DEL INSTRUMENTO</w:t>
      </w:r>
    </w:p>
    <w:p>
      <w:pPr>
        <w:pStyle w:val="Heading3"/>
        <w:keepNext/>
        <w:keepLines/>
      </w:pPr>
      <w:r>
        <w:t>6.1 Validez de Contenido</w:t>
      </w:r>
    </w:p>
    <w:p>
      <w:r>
        <w:t>El instrumento ha sido diseñado mediante revisión sistemática de:</w:t>
      </w:r>
      <w:r/>
      <w:r>
        <w:br/>
        <w:t>- Documentación oficial CVSS 4.0 (FIRST, 2023–2026)</w:t>
      </w:r>
      <w:r/>
      <w:r>
        <w:br/>
        <w:t>- Consumer Implementation Guide (FIRST, enero 2026)</w:t>
      </w:r>
      <w:r/>
      <w:r>
        <w:br/>
        <w:t>- Informe ENISA Threat Landscape 2025</w:t>
      </w:r>
      <w:r/>
      <w:r>
        <w:br/>
        <w:t>- Marco normativo ENS, NIS2, DORA, CRA</w:t>
      </w:r>
      <w:r/>
      <w:r>
        <w:br/>
        <w:t>- Literatura académica sobre modelos de madurez en ciberseguridad</w:t>
      </w:r>
    </w:p>
    <w:p>
      <w:r>
        <w:rPr>
          <w:b/>
        </w:rPr>
        <w:t>Recomendación:</w:t>
      </w:r>
      <w:r>
        <w:t xml:space="preserve"> Validación por panel de expertos (mínimo 5 expertos con &gt;10 años de experiencia en gestión de vulnerabilidades) mediante índice de validez de contenido (IVC ≥ 0.80 por ítem).</w:t>
      </w:r>
    </w:p>
    <w:p>
      <w:pPr>
        <w:pStyle w:val="Heading3"/>
        <w:keepNext/>
        <w:keepLines/>
      </w:pPr>
      <w:r>
        <w:t>6.2 Validez de Constructo</w:t>
      </w:r>
    </w:p>
    <w:p>
      <w:pPr>
        <w:pStyle w:val="ListBullet"/>
        <w:keepLines w:val="1"/>
        <w:keepNext w:val="1"/>
        <w:widowControl w:val="1"/>
      </w:pPr>
      <w:r>
        <w:t>Análisis factorial exploratorio (AFE): Verificar que los ítems de cada sección cargan en el factor esperado (madurez en métricas Base, Threat, Environmental, Supplemental, Gobierno)</w:t>
      </w:r>
    </w:p>
    <w:p>
      <w:pPr>
        <w:pStyle w:val="ListBullet"/>
        <w:keepLines w:val="1"/>
        <w:keepNext w:val="1"/>
        <w:widowControl w:val="1"/>
      </w:pPr>
      <w:r>
        <w:t>Validez convergente: Correlación entre IGM autopercibido (P11.1) y IGM calculado ≥ 0.60</w:t>
      </w:r>
    </w:p>
    <w:p>
      <w:pPr>
        <w:pStyle w:val="ListBullet"/>
        <w:keepLines w:val="1"/>
        <w:widowControl w:val="1"/>
      </w:pPr>
      <w:r>
        <w:t>Validez discriminante: Los factores de distintas secciones deben ser estadísticamente distintos</w:t>
      </w:r>
    </w:p>
    <w:p>
      <w:pPr>
        <w:pStyle w:val="Heading3"/>
        <w:keepNext/>
        <w:keepLines/>
      </w:pPr>
      <w:r>
        <w:t>6.3 Fiabilidad (Consistencia Interna)</w:t>
      </w:r>
    </w:p>
    <w:p>
      <w:pPr>
        <w:pStyle w:val="ListBullet"/>
        <w:keepLines w:val="1"/>
        <w:keepNext w:val="1"/>
        <w:widowControl w:val="1"/>
      </w:pPr>
      <w:r>
        <w:t>Alfa de Cronbach para cada escala de madurez (Secciones 4.6, 5.6, 6.4, 7.6, 9.6): objetivo α ≥ 0.70</w:t>
      </w:r>
    </w:p>
    <w:p>
      <w:pPr>
        <w:pStyle w:val="ListBullet"/>
        <w:keepLines w:val="1"/>
        <w:keepNext w:val="1"/>
        <w:widowControl w:val="1"/>
      </w:pPr>
      <w:r>
        <w:t>Omega de McDonald como alternativa más robusta a alfa</w:t>
      </w:r>
    </w:p>
    <w:p>
      <w:pPr>
        <w:pStyle w:val="ListBullet"/>
        <w:keepLines w:val="1"/>
        <w:widowControl w:val="1"/>
      </w:pPr>
      <w:r>
        <w:t>Test-retest (recomendado): Reaplicación a submuestra de 30–40 casos tras 4 semanas</w:t>
      </w:r>
    </w:p>
    <w:p>
      <w:pPr>
        <w:pStyle w:val="Heading2"/>
        <w:keepNext/>
        <w:keepLines/>
      </w:pPr>
      <w:r>
        <w:rPr>
          <w:color w:val="0066CC"/>
        </w:rPr>
        <w:t>7. LIMITACIONES CONOCIDAS Y MITIGACIÓN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Limitación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Estrategia de mitigación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Sesgo de deseabilidad social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Tendencia a declarar mayor madurez de la real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Preguntas de comportamiento concreto ("¿qué hace?") &gt; preguntas de opinión ("¿debería hacerse?")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Sesgo de respuesta única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 solo informante por organización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Triangulación con datos secundarios (auditorías ENS, informes CCN)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Infrarepresentación de PYMES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Menor tasa de respuesta en organizaciones pequeñas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Sobremuestreo + incentivos específicos (informe comparativo sectorial gratuito)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Varianza del método común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Toda la info proviene de la misma fuente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Harman's single factor test; separación temporal de bloques de preguntas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Evolución rápida del entorno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CVSS 4.0 y normativa cambian rápido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Fecha de recogida claramente documentada; revisión anual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8. EQUIPO DE INVESTIGACIÓN Y CRONOGRAMA</w:t>
      </w:r>
    </w:p>
    <w:p>
      <w:pPr>
        <w:pStyle w:val="Heading3"/>
        <w:keepNext/>
        <w:keepLines/>
      </w:pPr>
      <w:r>
        <w:t>8.1 Perfil del Equipo Recomendado</w:t>
      </w:r>
    </w:p>
    <w:p>
      <w:pPr>
        <w:pStyle w:val="ListBullet"/>
        <w:keepLines w:val="1"/>
        <w:keepNext w:val="1"/>
        <w:widowControl w:val="1"/>
      </w:pPr>
      <w:r>
        <w:t>1 Investigador Principal con experiencia en gestión de vulnerabilidades y ciberseguridad (CISM/CISSP/OSCP)</w:t>
      </w:r>
    </w:p>
    <w:p>
      <w:pPr>
        <w:pStyle w:val="ListBullet"/>
        <w:keepLines w:val="1"/>
        <w:keepNext w:val="1"/>
        <w:widowControl w:val="1"/>
      </w:pPr>
      <w:r>
        <w:t>1 Metodólogo/estadístico especializado en encuestas organizacionales</w:t>
      </w:r>
    </w:p>
    <w:p>
      <w:pPr>
        <w:pStyle w:val="ListBullet"/>
        <w:keepLines w:val="1"/>
        <w:keepNext w:val="1"/>
        <w:widowControl w:val="1"/>
      </w:pPr>
      <w:r>
        <w:t>2 Investigadores de campo para entrevistas estructuradas (sector público)</w:t>
      </w:r>
    </w:p>
    <w:p>
      <w:pPr>
        <w:pStyle w:val="ListBullet"/>
        <w:keepLines w:val="1"/>
        <w:keepNext w:val="1"/>
        <w:widowControl w:val="1"/>
      </w:pPr>
      <w:r>
        <w:t>1 Analista de datos y visualización</w:t>
      </w:r>
    </w:p>
    <w:p>
      <w:pPr>
        <w:pStyle w:val="ListBullet"/>
        <w:keepLines w:val="1"/>
        <w:widowControl w:val="1"/>
      </w:pPr>
      <w:r>
        <w:t>1 Revisor de contenido normativo (ENS, NIS2, CRA)</w:t>
      </w:r>
    </w:p>
    <w:p>
      <w:pPr>
        <w:pStyle w:val="Heading3"/>
        <w:keepNext/>
        <w:keepLines/>
      </w:pPr>
      <w:r>
        <w:t>8.2 Cronograma de Proyecto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Duración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Fase 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Diseño final del instrumento + validación expertos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Fase 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Piloto + ajustes + programación plataforma online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Fase 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Recogida de datos principal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Fase 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Limpieza, codificación y análisis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Fase 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Redacción del informe + revisión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Fase 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Presentación de resultados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 semanas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  <w:tc>
          <w:tcPr>
            <w:tcW w:type="dxa" w:w="3120"/>
          </w:tcPr>
          <w:p>
            <w:pPr>
              <w:keepLines w:val="1"/>
            </w:pPr>
            <w:r>
              <w:t>~27 semanas (~7 meses)</w:t>
            </w:r>
          </w:p>
        </w:tc>
      </w:tr>
    </w:tbl>
    <w:p/>
    <w:p>
      <w:r>
        <w:rPr>
          <w:b/>
        </w:rPr>
        <w:t>Kit de Encuesta CVSS 4.0 · España 2025–2026 · Guía Metodológica</w:t>
      </w:r>
      <w:r/>
      <w:r>
        <w:br/>
      </w:r>
      <w:r>
        <w:rPr>
          <w:b/>
        </w:rPr>
        <w:t>Versión 1.0 · Abril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