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🗺️ MAPEO NORMATIVO DETALLADO</w:t>
      </w:r>
    </w:p>
    <w:p>
      <w:pPr>
        <w:pStyle w:val="Heading2"/>
        <w:keepNext/>
        <w:keepLines/>
      </w:pPr>
      <w:r>
        <w:rPr>
          <w:color w:val="0066CC"/>
        </w:rPr>
        <w:t>Correspondencia entre Preguntas de la Encuesta y Requisitos Normativos Aplicables</w:t>
      </w:r>
    </w:p>
    <w:p>
      <w:pPr>
        <w:pStyle w:val="Heading3"/>
        <w:keepNext/>
        <w:keepLines/>
      </w:pPr>
      <w:r>
        <w:t>Kit de Encuesta CVSS 4.0 · España 2025–2026</w:t>
      </w:r>
    </w:p>
    <w:p>
      <w:r>
        <w:rPr>
          <w:i/>
        </w:rPr>
        <w:t>"La normativa sin métrica es una declaración de intenciones. La métrica sin normativa es un dato sin contexto. Juntas, son una política de ciberseguridad."</w:t>
      </w:r>
    </w:p>
    <w:p>
      <w:pPr>
        <w:pStyle w:val="Heading2"/>
        <w:keepNext/>
        <w:keepLines/>
      </w:pPr>
      <w:r>
        <w:rPr>
          <w:color w:val="0066CC"/>
        </w:rPr>
        <w:t>TABLA MAESTRA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Enunciado resumido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(RD 311/2022)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(Dir. 2022/2555)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(Reg. 2022/2554)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CRA (Reg. 2024/2847)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27001:2022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CVSS 4.0 Ref.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¿Sujeto al ENS?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 Ámbito de aplicación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Categoría ENS del sistema más crítico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Anexo I: Categorías BAJO/MEDIO/ALTO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A.8.1 Clasificación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ID.AM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Environmental CR/IR/AR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P2.1–P2.3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Conocimiento y versión CVSS usada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CCN-STIC 817 § Gestión de vulnerabilidades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21.2.e Gestión de vulnerabilidades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 Gestión de TIC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 Actualización de productos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 Gestión técnica de vuln.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Spec. § Nomenclatura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Razón para no migrar a v4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CCN-STIC 817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SIG adoption gap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Responsable de asignar CVSS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CCN-STIC 817 § 4 Roles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21.1 Medidas de gestión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5.2 Gobernanza TIC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13.1 Gobernanza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A.5.2 Roles y responsabilidades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GV.RR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CIG § Who sets metrics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Frecuencia revisión scores CVSS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Anexo II op.exp.4 Gestión vuln.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9.3 Programas de prueba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13.3 Supervisión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RS.MA-3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CIG § Lifecycle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P2.7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Uso del Base Score como puntuación definitiva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CCN-STIC 817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21.4 Proporcionalidad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CIG § Beyond Base Score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Conocimiento cambios métricas Base v4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CCN-STIC 817 § 5 Metodología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Spec § Base Metrics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Diferenciación impacto VC/VA vs SC/SA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 (análisis impacto)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21.2.b Análisis de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9.2 BIA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A.8.15 / A.8.16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§ SC/SI/SA metrics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Fiabilidad CVSS Base en entorno propio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21.4 Proporcionalidad de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CIG § Enrichment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Metodología específica para OT/ICS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 + CNPIC sectores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(OT implícito)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 (sistemas digitales)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 (productos con elem. digitales)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 + A.8.21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PR.IR-4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§ SC/SI/SA + Safety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P3.5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Disfunciones observadas en métricas Base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CCN-STIC 817 § Observaciones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limitations (literatura)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Uso sistemático de métricas Threat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21.2.e + Art. 23 Notificación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9.2 TLPT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A.5.7 Threat intelligence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§ Exploit Maturity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Fuentes de threat intelligence para E/Threat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21.2.e + Art. 29 Intercambio info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9.2 TLPT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A.5.7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CIG § Threat group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Reducción volumen con métricas Threat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RS.AN-3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SIG empirical data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Integración EUVD (ENISA 2025)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CCN-CERT coordinación ENISA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27 EUVD obligatorio para CNAs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12 EUVD en CRA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EUVD launch April 2025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Impacto CRA en disponibilidad datos Threat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23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13, 14, 15 CRA vulns.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CRA Art. 13 obligations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P4.6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Integración plataforma vuln. + threat intel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 + A.5.7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 + PR.DS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lifecycle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Uso de métricas Environmental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 (análisis riesgo)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21.1 Análisis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6 Marco riesgo TIC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 + A.5.9 Inventario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 + PR.PS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§ Environmental group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Inventario activos (CMDB) actualizado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mp.si.1 ENS: Inventario activos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21.2.a Gestión activos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9.2 Registro activos TIC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A.8.1 Inventario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ID.AM-1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CIG § Prerequisites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Establecimiento CR/IR/AR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Categorización ENS ALTO/MEDIO/BAJO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21.4 Proporcionalidad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5 Gobernanza TIC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13.2 Evaluación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A.8.1 + A.5.12 Clasificación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 + GV.RM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§ CR/IR/AR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Controles de seguridad en métricas Modified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Anexo II ENS controles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21.2.c Seguridad sistema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 Medidas resiliencia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13.3 Medidas seguridad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 Controls (múltiples)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PR.PS + PR.IR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Modified Base Metrics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Proceso respuesta vulnerabilidades ENS Alto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Anexo I ENS + CCN-STIC 817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23 Notificación incidentes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10 Notificación ICT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14 Notificación 24h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RS.MA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CIG § Response SLAs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P5.6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Madurez métricas Environmental (escala)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Medidas gestión riesgo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 Gestión riesgo TIC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 + PR.PS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Consumer Guide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Conocimiento métricas Supplemental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CCN-STIC (OT/ICS)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(sectores OT/safety)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PR.IR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§ Supplemental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Uso métrica Safety en OT/médica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CNPIC + Ley 8/2011 IC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 (infraestructuras críticas)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A.8.21 Seguridad red y OT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PR.IR-4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§ Safety metric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Mecanismos detección vulnerabilidades wormable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DE.CM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§ Automatability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Importancia métricas Supplemental en decisiones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RS.AN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§ Supplemental impact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P6.5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Escenario real de Supplemental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(abierta — evidencia cuali)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practical application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Sujeto a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3 Entidades esenciales/importantes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GV.RM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NIS2 scope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Integración CVSS en notificación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CCN-STIC 817 § Notificación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23 Notificación 24h/72h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A.5.26 Respuesta incidentes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RS.CO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+ NIS2 integration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Rol CVSS en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 Gestión riesgo TIC + Art. 10 Notificación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DORA technical requirements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Conocimiento CRA en gestión vulnerabilidades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13, 14, 15 CRA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CRA vulnerability obligations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Sistemas de scoring usados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+ EPSS + SSVC + KEV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P7.6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Alineación con marcos normativos (escala)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Todos ENS controles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Arts. 5–16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Arts. 13–15 CRA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 + Clausula 6.1.2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GV.OC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Consumer Guide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P8.1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Herramientas de gestión de vulnerabilidades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PR.PS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tooling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P8.2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Soporte nativo CVSS 4.0 en herramientas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PR.PS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v4 adoption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P8.3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Uso IA/LLM para scoring CVSS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 (AI Act intersect.)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PR.PS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AutoCVSS / JewelCVSS 2026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P8.4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Tiempo CVE → puntuación CVSS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 (SLA vuln.)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23 NIS2 (ventana explotación)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14 CRA (24h notif.)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RS.MA-3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SIG adoption gap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P8.5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Cobertura escaneo vulnerabilidades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mp.si.1 ENS inventario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A.8.7 / A.8.8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ID.AM + PR.PS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consumer lifecycle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P8.6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Integración vuln. mgmt + ITSM/ticketing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 + A.5.26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RS.MA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operational integration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Reporte métricas CVSS a dirección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org.4 ENS Comité seguridad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20 Gobernanza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5 Gobernanza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A.5.2 Liderazgo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GV.OC-2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executive reporting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Proceso formal VMP documentado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ENS (requerido)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 Marco gestión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A.8.8 + Cláusula 6.1.3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GV.RM-3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VMP lifecycle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Formación equipo en CVSS 4.0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org.4 ENS + CCN-STIC formación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21.2.g Formación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9.4.g Sensibilización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A.6.3 Concienciación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PR.AT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SIG training resources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Gestión vulnerabilidades cadena suministro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op.ext.1 ENS Proveedores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21.2.d Cadena suministro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11 Riesgo de terceros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9–11 CRA (fabricantes)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A.5.19–A.5.22 Supply chain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ID.SC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supply chain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Obstáculos organizacionales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org.4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20 Gobernanza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5 Gobernanza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A.5.2 + A.6.3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GV.OC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adoption barriers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P9.6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Madurez dimensiones gobierno (escala 1–5)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op.exp.4 + org.4 ENS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20–21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Arts. 5–9 DORA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Arts. 13–15 CRA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A.5.2, A.8.8, A.6.3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GV.OC + GV.RM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governance maturity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P10.1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Mayor limitación sistémica CVSS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research literature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P10.2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Evolución deseada de CVSS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21 (perspectiva)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13 (perspectiva)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SIG roadmap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P10.3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Valoración Red Nacional de SOC (RNS)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CCN-CERT RNS coordinación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29 Intercambio información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A.5.6 Relaciones autoridades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RS.CO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CCN-CERT RNS &gt;250 SOCs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P10.4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Impacto EUVD en soberanía digital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27 EUVD NIS2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12 CRA + EUVD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ID.RA-2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EUVD April 2025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P10.5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Propuestas para AP española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CCN / INCIBE / CNPIC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ENISA / NIS2 Art. 7 Estrategia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Art. 1–5 CRA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GV.OC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Política pública ciberseguridad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P10.6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Cambio deseado en estándar CVSS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CVSS SIG open consultation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P11.1–P11.3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IGM autopercibido y planes mejora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ENS global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NIS2 Art. 21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DORA Art. 9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CRA Art. 13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Cláusula 9.1 Evaluación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ID.RA + GV.RM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CVSS maturity benchmarks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LEYENDA DE REFERENCIAS NORMATIVAS</w:t>
      </w:r>
    </w:p>
    <w:p>
      <w:pPr>
        <w:pStyle w:val="Heading3"/>
        <w:keepNext/>
        <w:keepLines/>
      </w:pPr>
      <w:r>
        <w:t>Esquema Nacional de Seguridad (ENS) — RD 311/2022</w:t>
      </w:r>
    </w:p>
    <w:p>
      <w:pPr>
        <w:pStyle w:val="ListBullet"/>
        <w:keepLines w:val="1"/>
        <w:keepNext w:val="1"/>
        <w:widowControl w:val="1"/>
      </w:pPr>
      <w:r>
        <w:t>Art. 2: Ámbito de aplicación</w:t>
      </w:r>
    </w:p>
    <w:p>
      <w:pPr>
        <w:pStyle w:val="ListBullet"/>
        <w:keepLines w:val="1"/>
        <w:keepNext w:val="1"/>
        <w:widowControl w:val="1"/>
      </w:pPr>
      <w:r>
        <w:t>Anexo I: Sistema de categorización (BAJO/MEDIO/ALTO)</w:t>
      </w:r>
    </w:p>
    <w:p>
      <w:pPr>
        <w:pStyle w:val="ListBullet"/>
        <w:keepLines w:val="1"/>
        <w:keepNext w:val="1"/>
        <w:widowControl w:val="1"/>
      </w:pPr>
      <w:r>
        <w:t>Anexo II: Marco de medidas de seguridad</w:t>
      </w:r>
    </w:p>
    <w:p>
      <w:pPr>
        <w:pStyle w:val="ListBullet"/>
        <w:keepLines w:val="1"/>
        <w:keepNext w:val="1"/>
        <w:widowControl w:val="1"/>
      </w:pPr>
      <w:r>
        <w:t>op.exp.4: Gestión de vulnerabilidades (explícitamente)</w:t>
      </w:r>
    </w:p>
    <w:p>
      <w:pPr>
        <w:pStyle w:val="ListBullet"/>
        <w:keepLines w:val="1"/>
        <w:keepNext w:val="1"/>
        <w:widowControl w:val="1"/>
      </w:pPr>
      <w:r>
        <w:t>mp.si.1: Inventario de activos</w:t>
      </w:r>
    </w:p>
    <w:p>
      <w:pPr>
        <w:pStyle w:val="ListBullet"/>
        <w:keepLines w:val="1"/>
        <w:keepNext w:val="1"/>
        <w:widowControl w:val="1"/>
      </w:pPr>
      <w:r>
        <w:t>org.4: Proceso de seguridad</w:t>
      </w:r>
    </w:p>
    <w:p>
      <w:pPr>
        <w:pStyle w:val="ListBullet"/>
        <w:keepLines w:val="1"/>
        <w:widowControl w:val="1"/>
      </w:pPr>
      <w:r>
        <w:t>op.ext.1: Gestión de proveedores/terceros</w:t>
      </w:r>
    </w:p>
    <w:p>
      <w:pPr>
        <w:pStyle w:val="Heading3"/>
        <w:keepNext/>
        <w:keepLines/>
      </w:pPr>
      <w:r>
        <w:t>NIS2 — Directiva UE 2022/2555</w:t>
      </w:r>
    </w:p>
    <w:p>
      <w:pPr>
        <w:pStyle w:val="ListBullet"/>
        <w:keepLines w:val="1"/>
        <w:keepNext w:val="1"/>
        <w:widowControl w:val="1"/>
      </w:pPr>
      <w:r>
        <w:t>Art. 3: Entidades esenciales e importantes</w:t>
      </w:r>
    </w:p>
    <w:p>
      <w:pPr>
        <w:pStyle w:val="ListBullet"/>
        <w:keepLines w:val="1"/>
        <w:keepNext w:val="1"/>
        <w:widowControl w:val="1"/>
      </w:pPr>
      <w:r>
        <w:t>Art. 20: Responsabilidad del órgano de dirección</w:t>
      </w:r>
    </w:p>
    <w:p>
      <w:pPr>
        <w:pStyle w:val="ListBullet"/>
        <w:keepLines w:val="1"/>
        <w:keepNext w:val="1"/>
        <w:widowControl w:val="1"/>
      </w:pPr>
      <w:r>
        <w:t>Art. 21: Medidas de gestión de riesgos de ciberseguridad</w:t>
      </w:r>
    </w:p>
    <w:p>
      <w:pPr>
        <w:pStyle w:val="ListBullet"/>
        <w:keepLines w:val="1"/>
        <w:keepNext w:val="1"/>
        <w:widowControl w:val="1"/>
      </w:pPr>
      <w:r>
        <w:t>Art. 21.2.e: Gestión y divulgación de vulnerabilidades</w:t>
      </w:r>
    </w:p>
    <w:p>
      <w:pPr>
        <w:pStyle w:val="ListBullet"/>
        <w:keepLines w:val="1"/>
        <w:keepNext w:val="1"/>
        <w:widowControl w:val="1"/>
      </w:pPr>
      <w:r>
        <w:t>Art. 23: Obligaciones de notificación de incidentes (24h/72h/1 mes)</w:t>
      </w:r>
    </w:p>
    <w:p>
      <w:pPr>
        <w:pStyle w:val="ListBullet"/>
        <w:keepLines w:val="1"/>
        <w:keepNext w:val="1"/>
        <w:widowControl w:val="1"/>
      </w:pPr>
      <w:r>
        <w:t>Art. 27: Base de datos de vulnerabilidades (EUVD)</w:t>
      </w:r>
    </w:p>
    <w:p>
      <w:pPr>
        <w:pStyle w:val="ListBullet"/>
        <w:keepLines w:val="1"/>
        <w:widowControl w:val="1"/>
      </w:pPr>
      <w:r>
        <w:t>Art. 29: Intercambio de información entre entidades</w:t>
      </w:r>
    </w:p>
    <w:p>
      <w:pPr>
        <w:pStyle w:val="Heading3"/>
        <w:keepNext/>
        <w:keepLines/>
      </w:pPr>
      <w:r>
        <w:t>DORA — Reglamento UE 2022/2554</w:t>
      </w:r>
    </w:p>
    <w:p>
      <w:pPr>
        <w:pStyle w:val="ListBullet"/>
        <w:keepLines w:val="1"/>
        <w:keepNext w:val="1"/>
        <w:widowControl w:val="1"/>
      </w:pPr>
      <w:r>
        <w:t>Art. 5: Gobernanza TIC</w:t>
      </w:r>
    </w:p>
    <w:p>
      <w:pPr>
        <w:pStyle w:val="ListBullet"/>
        <w:keepLines w:val="1"/>
        <w:keepNext w:val="1"/>
        <w:widowControl w:val="1"/>
      </w:pPr>
      <w:r>
        <w:t>Art. 9: Gestión, clasificación y notificación de incidentes TIC</w:t>
      </w:r>
    </w:p>
    <w:p>
      <w:pPr>
        <w:pStyle w:val="ListBullet"/>
        <w:keepLines w:val="1"/>
        <w:keepNext w:val="1"/>
        <w:widowControl w:val="1"/>
      </w:pPr>
      <w:r>
        <w:t>Art. 10: Notificación de incidentes TIC graves (4h inicial)</w:t>
      </w:r>
    </w:p>
    <w:p>
      <w:pPr>
        <w:pStyle w:val="ListBullet"/>
        <w:keepLines w:val="1"/>
        <w:keepNext w:val="1"/>
        <w:widowControl w:val="1"/>
      </w:pPr>
      <w:r>
        <w:t>Art. 11: Gestión del riesgo TIC de terceros</w:t>
      </w:r>
    </w:p>
    <w:p>
      <w:pPr>
        <w:pStyle w:val="ListBullet"/>
        <w:keepLines w:val="1"/>
        <w:widowControl w:val="1"/>
      </w:pPr>
      <w:r>
        <w:t>Arts. 26–27: Pruebas de resiliencia operativa digital</w:t>
      </w:r>
    </w:p>
    <w:p>
      <w:pPr>
        <w:pStyle w:val="Heading3"/>
        <w:keepNext/>
        <w:keepLines/>
      </w:pPr>
      <w:r>
        <w:t>Cyber Resilience Act (CRA) — Reglamento UE 2024/2847</w:t>
      </w:r>
    </w:p>
    <w:p>
      <w:pPr>
        <w:pStyle w:val="ListBullet"/>
        <w:keepLines w:val="1"/>
        <w:keepNext w:val="1"/>
        <w:widowControl w:val="1"/>
      </w:pPr>
      <w:r>
        <w:t>Art. 13: Obligaciones de los fabricantes de productos con elementos digitales</w:t>
      </w:r>
    </w:p>
    <w:p>
      <w:pPr>
        <w:pStyle w:val="ListBullet"/>
        <w:keepLines w:val="1"/>
        <w:keepNext w:val="1"/>
        <w:widowControl w:val="1"/>
      </w:pPr>
      <w:r>
        <w:t>Art. 13.1: Gobernanza de la seguridad durante el ciclo de vida</w:t>
      </w:r>
    </w:p>
    <w:p>
      <w:pPr>
        <w:pStyle w:val="ListBullet"/>
        <w:keepLines w:val="1"/>
        <w:keepNext w:val="1"/>
        <w:widowControl w:val="1"/>
      </w:pPr>
      <w:r>
        <w:t>Art. 13.3: Gestión de vulnerabilidades (desde lanzamiento)</w:t>
      </w:r>
    </w:p>
    <w:p>
      <w:pPr>
        <w:pStyle w:val="ListBullet"/>
        <w:keepLines w:val="1"/>
        <w:keepNext w:val="1"/>
        <w:widowControl w:val="1"/>
      </w:pPr>
      <w:r>
        <w:t>Art. 13.6: Política de divulgación coordinada (CVD)</w:t>
      </w:r>
    </w:p>
    <w:p>
      <w:pPr>
        <w:pStyle w:val="ListBullet"/>
        <w:keepLines w:val="1"/>
        <w:keepNext w:val="1"/>
        <w:widowControl w:val="1"/>
      </w:pPr>
      <w:r>
        <w:t>Art. 14: Notificación a ENISA de vulnerabilidades explotadas activamente (24h)</w:t>
      </w:r>
    </w:p>
    <w:p>
      <w:pPr>
        <w:pStyle w:val="ListBullet"/>
        <w:keepLines w:val="1"/>
        <w:widowControl w:val="1"/>
      </w:pPr>
      <w:r>
        <w:t>Art. 15: Notificación de incidentes graves</w:t>
      </w:r>
    </w:p>
    <w:p>
      <w:pPr>
        <w:pStyle w:val="Heading3"/>
        <w:keepNext/>
        <w:keepLines/>
      </w:pPr>
      <w:r>
        <w:t>ISO/IEC 27001:2022</w:t>
      </w:r>
    </w:p>
    <w:p>
      <w:pPr>
        <w:pStyle w:val="ListBullet"/>
        <w:keepLines w:val="1"/>
        <w:keepNext w:val="1"/>
        <w:widowControl w:val="1"/>
      </w:pPr>
      <w:r>
        <w:t>A.5.7: Inteligencia de amenazas</w:t>
      </w:r>
    </w:p>
    <w:p>
      <w:pPr>
        <w:pStyle w:val="ListBullet"/>
        <w:keepLines w:val="1"/>
        <w:keepNext w:val="1"/>
        <w:widowControl w:val="1"/>
      </w:pPr>
      <w:r>
        <w:t>A.5.19–A.5.22: Seguridad en relaciones con proveedores</w:t>
      </w:r>
    </w:p>
    <w:p>
      <w:pPr>
        <w:pStyle w:val="ListBullet"/>
        <w:keepLines w:val="1"/>
        <w:keepNext w:val="1"/>
        <w:widowControl w:val="1"/>
      </w:pPr>
      <w:r>
        <w:t>A.8.1: Inventario de activos de información</w:t>
      </w:r>
    </w:p>
    <w:p>
      <w:pPr>
        <w:pStyle w:val="ListBullet"/>
        <w:keepLines w:val="1"/>
        <w:widowControl w:val="1"/>
      </w:pPr>
      <w:r>
        <w:t>A.8.7–A.8.8: Protección contra malware y gestión técnica de vulnerabilidades</w:t>
      </w:r>
    </w:p>
    <w:p>
      <w:pPr>
        <w:pStyle w:val="Heading3"/>
        <w:keepNext/>
        <w:keepLines/>
      </w:pPr>
      <w:r>
        <w:t>NIST Cybersecurity Framework 2.0 (CSF 2.0)</w:t>
      </w:r>
    </w:p>
    <w:p>
      <w:pPr>
        <w:pStyle w:val="ListBullet"/>
        <w:keepLines w:val="1"/>
        <w:keepNext w:val="1"/>
        <w:widowControl w:val="1"/>
      </w:pPr>
      <w:r>
        <w:t>GV (Govern): Gobierno de la ciberseguridad</w:t>
      </w:r>
    </w:p>
    <w:p>
      <w:pPr>
        <w:pStyle w:val="ListBullet"/>
        <w:keepLines w:val="1"/>
        <w:keepNext w:val="1"/>
        <w:widowControl w:val="1"/>
      </w:pPr>
      <w:r>
        <w:t>ID (Identify): Identificación y gestión de riesgos</w:t>
      </w:r>
    </w:p>
    <w:p>
      <w:pPr>
        <w:pStyle w:val="ListBullet"/>
        <w:keepLines w:val="1"/>
        <w:keepNext w:val="1"/>
        <w:widowControl w:val="1"/>
      </w:pPr>
      <w:r>
        <w:t>ID.RA: Evaluación de riesgos</w:t>
      </w:r>
    </w:p>
    <w:p>
      <w:pPr>
        <w:pStyle w:val="ListBullet"/>
        <w:keepLines w:val="1"/>
        <w:keepNext w:val="1"/>
        <w:widowControl w:val="1"/>
      </w:pPr>
      <w:r>
        <w:t>ID.AM: Gestión de activos</w:t>
      </w:r>
    </w:p>
    <w:p>
      <w:pPr>
        <w:pStyle w:val="ListBullet"/>
        <w:keepLines w:val="1"/>
        <w:keepNext w:val="1"/>
        <w:widowControl w:val="1"/>
      </w:pPr>
      <w:r>
        <w:t>PR (Protect): Medidas de protección</w:t>
      </w:r>
    </w:p>
    <w:p>
      <w:pPr>
        <w:pStyle w:val="ListBullet"/>
        <w:keepLines w:val="1"/>
        <w:keepNext w:val="1"/>
        <w:widowControl w:val="1"/>
      </w:pPr>
      <w:r>
        <w:t>PR.PS: Seguridad de la plataforma</w:t>
      </w:r>
    </w:p>
    <w:p>
      <w:pPr>
        <w:pStyle w:val="ListBullet"/>
        <w:keepLines w:val="1"/>
        <w:keepNext w:val="1"/>
        <w:widowControl w:val="1"/>
      </w:pPr>
      <w:r>
        <w:t>RS (Respond): Respuesta a incidentes</w:t>
      </w:r>
    </w:p>
    <w:p>
      <w:pPr>
        <w:pStyle w:val="ListBullet"/>
        <w:keepLines w:val="1"/>
        <w:widowControl w:val="1"/>
      </w:pPr>
      <w:r>
        <w:t>RS.MA: Gestión de respuesta</w:t>
      </w:r>
    </w:p>
    <w:p>
      <w:pPr>
        <w:pStyle w:val="Heading2"/>
        <w:keepNext/>
        <w:keepLines/>
      </w:pPr>
      <w:r>
        <w:rPr>
          <w:color w:val="0066CC"/>
        </w:rPr>
        <w:t>CUADRO DE MANDOS DE COBERTURA NORMATIVA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Normativo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preguntas que lo mapean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 (%)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Secciones de mayor densidad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 (RD 311/2022)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48 de 64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S1, S5, S7, S9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 (Dir. 2022/2555)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42 de 64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66%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S4, S7, S9, S10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38 de 64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59%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S3, S4, S5, S8, S9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35 de 64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S2, S4, S5, S8, S9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CVSS v4.0 Spec/CIG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64 de 64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Todas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CRA (Reg. 2024/2847)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28 de 64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44%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S4, S7, S8, S10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DORA (Reg. 2022/2554)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22 de 64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34%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S7, S9 (sector financiero)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CNPIC / Ley 8/2011 IC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12 de 64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19%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S3 (OT), S6 (Safety)</w:t>
            </w:r>
          </w:p>
        </w:tc>
      </w:tr>
    </w:tbl>
    <w:p/>
    <w:p>
      <w:r>
        <w:rPr>
          <w:b/>
        </w:rPr>
        <w:t>Kit de Encuesta CVSS 4.0 · España 2025–2026 · Mapeo Normativo</w:t>
      </w:r>
      <w:r/>
      <w:r>
        <w:br/>
      </w:r>
      <w:r>
        <w:rPr>
          <w:b/>
        </w:rPr>
        <w:t>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