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📊 PLANTILLA DE EXCEL: ÍNDICE DE MADUREZ GLOBAL (IGM) Y ANÁLISIS ROI</w:t>
      </w:r>
    </w:p>
    <w:p>
      <w:pPr>
        <w:pStyle w:val="Heading2"/>
        <w:keepNext/>
        <w:keepLines/>
      </w:pPr>
      <w:r>
        <w:rPr>
          <w:color w:val="0066CC"/>
        </w:rPr>
        <w:t>Cálculo de Madurez en Gestión de Vulnerabilidades CVSS 4.0</w:t>
      </w:r>
    </w:p>
    <w:p>
      <w:pPr>
        <w:pStyle w:val="Heading3"/>
        <w:keepNext/>
        <w:keepLines/>
      </w:pPr>
      <w:r>
        <w:t>Kit de Encuesta CVSS 4.0 · España 2025–2026</w:t>
      </w:r>
    </w:p>
    <w:p>
      <w:r>
        <w:rPr>
          <w:i/>
        </w:rPr>
        <w:t>"Lo que no se mide no se puede mejorar. Lo que se mide mal se mejora hacia el lugar equivocado."</w:t>
      </w:r>
    </w:p>
    <w:p>
      <w:pPr>
        <w:pStyle w:val="Heading2"/>
        <w:keepNext/>
        <w:keepLines/>
      </w:pPr>
      <w:r>
        <w:rPr>
          <w:color w:val="0066CC"/>
        </w:rPr>
        <w:t>DESCRIPCIÓN GENERAL</w:t>
      </w:r>
    </w:p>
    <w:p>
      <w:r>
        <w:t xml:space="preserve">Este documento especifica en detalle la estructura, fórmulas y configuración de la </w:t>
      </w:r>
      <w:r>
        <w:rPr>
          <w:b/>
        </w:rPr>
        <w:t>Plantilla Excel</w:t>
      </w:r>
      <w:r>
        <w:t xml:space="preserve"> para:</w:t>
      </w:r>
      <w:r/>
      <w:r>
        <w:br/>
        <w:t xml:space="preserve">1. Calcular el </w:t>
      </w:r>
      <w:r>
        <w:rPr>
          <w:b/>
        </w:rPr>
        <w:t>Índice de Madurez Global (IGM)</w:t>
      </w:r>
      <w:r>
        <w:t xml:space="preserve"> por organización y por dimensión</w:t>
      </w:r>
      <w:r/>
      <w:r>
        <w:br/>
        <w:t>2. Generar comparativas por sector y CCAA</w:t>
      </w:r>
      <w:r/>
      <w:r>
        <w:br/>
        <w:t xml:space="preserve">3. Estimar el </w:t>
      </w:r>
      <w:r>
        <w:rPr>
          <w:b/>
        </w:rPr>
        <w:t>Retorno de la Inversión (ROI)</w:t>
      </w:r>
      <w:r>
        <w:t xml:space="preserve"> de mejoras en gestión de vulnerabilidades CVSS</w:t>
      </w:r>
      <w:r/>
      <w:r>
        <w:br/>
        <w:t>4. Producir dashboards visuales listos para reporte ejecutivo</w:t>
      </w:r>
    </w:p>
    <w:p>
      <w:pPr>
        <w:pStyle w:val="Heading2"/>
        <w:keepNext/>
        <w:keepLines/>
      </w:pPr>
      <w:r>
        <w:rPr>
          <w:color w:val="0066CC"/>
        </w:rPr>
        <w:t>HOJA 1: DATOS_ENCUESTA — Entrada de Datos Raw</w:t>
      </w:r>
    </w:p>
    <w:p>
      <w:pPr>
        <w:pStyle w:val="Heading3"/>
        <w:keepNext/>
        <w:keepLines/>
      </w:pPr>
      <w:r>
        <w:t>Estructura de Columnas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Valores válidos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ID_Encuesta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Texto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E001, E002…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Identificador único anonimizado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Fecha_Respuesta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Fecha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DD/MM/AAAA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Tipo_Org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Entero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1–14 (cat. P1.1)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Usa tabla de códigos HOJA_CODIGOS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Num_Empleados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Entero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1–6 (cat. P1.2)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Ambito_Territorial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Entero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1–6 (cat. P1.3)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CCAA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Entero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1–19 (cat. P1.4)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Rol_Encuestado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Entero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1–10 (cat. P1.5)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H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Exp_Anos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Entero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1–5 (cat. P1.6)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ENS_Sujeto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Entero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1–6 (cat. P1.7)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J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ENS_Categoria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Entero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1–5 (cat. P1.8)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S2_Conocimiento_CVSS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Entero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1–5 (P2.1)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S2_Conocimiento_v4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Entero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1–4 (P2.2)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S2_Version_Usada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Entero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1–7 (P2.3)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S2_Razon_NoMigracion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Entero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1–7 (P2.4)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0 si ya usa v4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S2_Score_Definitivo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Entero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1–5 (P2.7 Likert)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P–T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S3_Base_1 a S3_Base_5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Entero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Escala según pregunta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Sección 3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U–Z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S4_Threat_1 a S4_Threat_6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Entero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Escala según pregunta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Sección 4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AA–AF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S5_Env_1 a S5_Env_6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Entero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Escala según pregunta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Sección 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AG–AK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S6_Suppl_1 a S6_Suppl_5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Entero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Escala según pregunta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Sección 6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AL–AQ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S7_Norm_1 a S7_Norm_6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Entero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Escala según pregunta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Sección 7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AR–AW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S8_Infra_1 a S8_Infra_6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Entero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Escala según pregunta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Sección 8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AX–BC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S9_Gov_1 a S9_Gov_6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Entero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Escala según pregunta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Sección 9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BD–BF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S10_Estrat_1 a S10_Estrat_3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Entero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Escala según pregunta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Sección 10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BG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IGM_Autopercibido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Entero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1–10 (P11.1)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BH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IGM_Sector_Autopercibido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Entero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1–10 (P11.2)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BI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Plan_Mejora_12m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Entero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1–9 (cat. P11.3)</w:t>
            </w:r>
          </w:p>
        </w:tc>
        <w:tc>
          <w:tcPr>
            <w:tcW w:type="dxa" w:w="1872"/>
          </w:tcPr>
          <w:p>
            <w:pPr>
              <w:keepLines w:val="1"/>
            </w:pPr>
            <w:r/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HOJA 2: IGM_CALCULO — Cálculo del Índice de Madurez Global</w:t>
      </w:r>
    </w:p>
    <w:p>
      <w:pPr>
        <w:pStyle w:val="Heading3"/>
        <w:keepNext/>
        <w:keepLines/>
      </w:pPr>
      <w:r>
        <w:t>2.1 Tabla de Pesos por Dimensión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┌────────────────────────────────────┬────────┬────────────────────────────────┐</w:t>
        <w:br/>
        <w:t>│ DIMENSIÓN                          │ PESO   │ JUSTIFICACIÓN                  │</w:t>
        <w:br/>
        <w:t>├────────────────────────────────────┼────────┼────────────────────────────────┤</w:t>
        <w:br/>
        <w:t>│ D1: Conocimiento CVSS 4.0 (S2)     │ 10%    │ Prerrequisito habilitador       │</w:t>
        <w:br/>
        <w:t>│ D2: Métricas Base (S3)             │ 10%    │ Fundamento del sistema          │</w:t>
        <w:br/>
        <w:t>│ D3: Métricas Threat (S4)           │ 20%    │ Mayor impacto en priorización   │</w:t>
        <w:br/>
        <w:t>│ D4: Métricas Environmental (S5)    │ 20%    │ Contextualización crítica       │</w:t>
        <w:br/>
        <w:t>│ D5: Métricas Supplemental (S6)     │ 10%    │ Madurez avanzada                │</w:t>
        <w:br/>
        <w:t>│ D6: Integración Normativa (S7)     │ 10%    │ Obligatoriedad regulatoria      │</w:t>
        <w:br/>
        <w:t>│ D7: Infraestructura y herramientas │ 10%    │ Habilitador tecnológico         │</w:t>
        <w:br/>
        <w:t>│ D8: Gobierno y cultura (S9)        │ 10%    │ Sostenibilidad del proceso      │</w:t>
        <w:br/>
        <w:t>├────────────────────────────────────┼────────┼────────────────────────────────┤</w:t>
        <w:br/>
        <w:t>│ TOTAL                              │ 100%   │                                │</w:t>
        <w:br/>
        <w:t>└────────────────────────────────────┴────────┴────────────────────────────────┘</w:t>
        <w:br/>
      </w:r>
    </w:p>
    <w:p>
      <w:pPr>
        <w:pStyle w:val="Heading3"/>
        <w:keepNext/>
        <w:keepLines/>
      </w:pPr>
      <w:r>
        <w:t>2.2 Fórmulas Excel por Dimensión</w:t>
      </w:r>
    </w:p>
    <w:p>
      <w:r>
        <w:rPr>
          <w:b/>
        </w:rPr>
        <w:t>Celda D3 (Puntuación D1 — Conocimiento):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=SI(K2=1,5,SI(K2=2,4,SI(K2=3,3,SI(K2=4,2,1))))</w:t>
        <w:br/>
        <w:t>* SI(L2=1,5,SI(L2=2,4,SI(L2=3,2,SI(L2=4,1,3))))</w:t>
        <w:br/>
        <w:t>/ 5</w:t>
        <w:br/>
      </w:r>
    </w:p>
    <w:p>
      <w:r>
        <w:rPr>
          <w:i/>
        </w:rPr>
        <w:t>(Normalización de respuestas a escala 1–5)</w:t>
      </w:r>
    </w:p>
    <w:p>
      <w:r>
        <w:rPr>
          <w:b/>
        </w:rPr>
        <w:t>Celda D4 (Puntuación D2 — Métricas Base):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</w:t>
        <w:br/>
        <w:t xml:space="preserve">  CONVERTIR_ESCALA(P2,5),  </w:t>
        <w:br/>
        <w:t xml:space="preserve">  CONVERTIR_ESCALA(Q2,4),  </w:t>
        <w:br/>
        <w:t xml:space="preserve">  CONVERTIR_ESCALA(R2,5),  </w:t>
        <w:br/>
        <w:t xml:space="preserve">  CONVERTIR_ESCALA(S2,5)   </w:t>
        <w:br/>
        <w:t>)</w:t>
        <w:br/>
      </w:r>
    </w:p>
    <w:p>
      <w:r>
        <w:rPr>
          <w:b/>
        </w:rPr>
        <w:t>Celda D5 (Puntuación D3 — Métricas Threat):</w:t>
      </w:r>
      <w:r/>
      <w:r>
        <w:br/>
      </w:r>
      <w:r>
        <w:rPr>
          <w:i/>
        </w:rPr>
        <w:t>(Basada en preguntas P4.1, P4.2, P4.3, P4.6 de escala Likert)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</w:t>
        <w:br/>
        <w:t xml:space="preserve">  SI(U2=1,1,SI(U2=2,3,SI(U2=3,4,SI(U2=4,2,1)))),</w:t>
        <w:br/>
        <w:t xml:space="preserve">  SI(CONTAR.SI(V2:AE2,"☑")&gt;5,5,SI(CONTAR.SI(V2:AE2,"☑")&gt;3,4,SI(CONTAR.SI(V2:AE2,"☑")&gt;1,3,SI(CONTAR.SI(V2:AE2,"☑")=1,2,1)))),</w:t>
        <w:br/>
        <w:t xml:space="preserve">  Z2, AA2, AB2, AC2</w:t>
        <w:br/>
        <w:t>)</w:t>
        <w:br/>
      </w:r>
    </w:p>
    <w:p>
      <w:r>
        <w:rPr>
          <w:i/>
        </w:rPr>
        <w:t>(Las escalas Likert de P4.6 se integran directamente)</w:t>
      </w:r>
    </w:p>
    <w:p>
      <w:r>
        <w:rPr>
          <w:b/>
        </w:rPr>
        <w:t>Celda D6 (Puntuación D4 — Métricas Environmental):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=PROMEDIO(</w:t>
        <w:br/>
        <w:t xml:space="preserve">  SI(AA2=1,1,SI(AA2=2,3,SI(AA2=3,4,SI(AA2=4,2,SI(AA2=5,5,1))))),</w:t>
        <w:br/>
        <w:t xml:space="preserve">  SI(AB2=1,2,SI(AB2=2,3,SI(AB2=3,4,SI(AB2=4,5,1)))),</w:t>
        <w:br/>
        <w:t xml:space="preserve">  SI(AC2=1,5,SI(AC2=2,4,SI(AC2=3,3,SI(AC2=4,3,SI(AC2=5,2,SI(AC2=6,1,1)))))),</w:t>
        <w:br/>
        <w:t xml:space="preserve">  AD2, AE2, AF2</w:t>
        <w:br/>
        <w:t>)</w:t>
        <w:br/>
      </w:r>
    </w:p>
    <w:p>
      <w:r>
        <w:rPr>
          <w:b/>
        </w:rPr>
        <w:t>Celda IGM (Índice de Madurez Global — Fórmula Central):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=REDONDEAR(</w:t>
        <w:br/>
        <w:t xml:space="preserve">  (D3*0.10) + (D4*0.10) + (D5*0.20) + (D6*0.20) +</w:t>
        <w:br/>
        <w:t xml:space="preserve">  (D7*0.10) + (D8*0.10) + (D9*0.10) + (D10*0.10),</w:t>
        <w:br/>
        <w:t xml:space="preserve">  2</w:t>
        <w:br/>
        <w:t>)</w:t>
        <w:br/>
      </w:r>
    </w:p>
    <w:p>
      <w:pPr>
        <w:pStyle w:val="Heading3"/>
        <w:keepNext/>
        <w:keepLines/>
      </w:pPr>
      <w:r>
        <w:t>2.3 Tabla de Niveles de Madurez IGM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Rango IGM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Color Excel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1.0 – 1.9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INICIAL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Sin proceso reconocible; gestión reactiva y ad hoc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🔴 Rojo (FF0000)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2.0 – 2.9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BÁSICO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Proceso parcial; dependiente de personas; sin sistematización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🟠 Naranja (FF8C00)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3.0 – 3.9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DEFINIDO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Proceso documentado y repetible; métricas base sistemáticas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🟡 Amarillo (FFD700)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4.0 – 4.4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GESTIONADO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Proceso medido con KPIs; integración threat intel y ambiental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🟢 Verde claro (90EE90)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4.5 – 5.0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OPTIMIZADO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Mejora continua; automatización; referencia sectorial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🟢 Verde oscuro (006400)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HOJA 3: ANALISIS_SECTOR — Benchmarks y Comparativas</w:t>
      </w:r>
    </w:p>
    <w:p>
      <w:pPr>
        <w:pStyle w:val="Heading3"/>
        <w:keepNext/>
        <w:keepLines/>
      </w:pPr>
      <w:r>
        <w:t>3.1 Tabla Resumen por Tipo de Organización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=PROMEDIO.SI(DATOS_ENCUESTA!C:C, [Tipo_Org], DATOS_ENCUESTA!IGM:IGM)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 de Organización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Medio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Min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Max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Desv. Est.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AGE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=CONTAR.SI(C:C,1)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=PROMEDIO.SI(C:C,1,BG:BG)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=MIN.SI.CONJUNTO(…)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=MAX.SI.CONJUNTO(…)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=DESVEST.SI(…)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CCAA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=CONTAR.SI(C:C,2)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Entidad Local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=CONTAR.SI(C:C,3)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Hospital público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=CONTAR.SI(C:C,5)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Universidad pública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=CONTAR.SI(C:C,6)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Sector financiero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=CONTAR.SI(C:C,7)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Sector energético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=CONTAR.SI(C:C,8)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…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Media global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=CONTAR(A:A)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=PROMEDIO(BG:BG)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=MIN(BG:BG)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=MAX(BG:BG)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=DESVEST(BG:BG)</w:t>
            </w:r>
          </w:p>
        </w:tc>
      </w:tr>
    </w:tbl>
    <w:p/>
    <w:p>
      <w:pPr>
        <w:pStyle w:val="Heading3"/>
        <w:keepNext/>
        <w:keepLines/>
      </w:pPr>
      <w:r>
        <w:t>3.2 Tabla Resumen por CCAA</w:t>
      </w:r>
    </w:p>
    <w:p>
      <w:r>
        <w:rPr>
          <w:i/>
        </w:rPr>
        <w:t>(Misma estructura con =PROMEDIO.SI(F:F, [Código_CCAA], IGM_Col))</w:t>
      </w:r>
    </w:p>
    <w:p>
      <w:pPr>
        <w:pStyle w:val="Heading2"/>
        <w:keepNext/>
        <w:keepLines/>
      </w:pPr>
      <w:r>
        <w:rPr>
          <w:color w:val="0066CC"/>
        </w:rPr>
        <w:t>HOJA 4: ROI_CVSS — Retorno de la Inversión</w:t>
      </w:r>
    </w:p>
    <w:p>
      <w:pPr>
        <w:pStyle w:val="Heading3"/>
        <w:keepNext/>
        <w:keepLines/>
      </w:pPr>
      <w:r>
        <w:t>4.1 Modelo de Costes de Vulnerabilidades No Gestionadas</w:t>
      </w:r>
    </w:p>
    <w:p>
      <w:pPr>
        <w:pStyle w:val="Heading4"/>
        <w:keepNext/>
        <w:keepLines/>
      </w:pPr>
      <w:r>
        <w:t>Variables de Entrada (ajustables por organización)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Celda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 por Defecto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Nº CVEs activos en inventario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Ajustar según escaneo real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% CVEs con CVSS ≥ 7.0 (sin Threat)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41.3%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Dato CVSS v4.0 2025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% CVEs con CVSS ≥ 7.0 (con Threat, v4)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13% (reducción 65-76%)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CVSS SIG empirical data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Coste medio remediación por CVE (€)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2.500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Estimar según sector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Coste medio incidente por CVE explotado (€)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450.000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Basado en INCIBE datos 2025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Probabilidad media explotación sin priorización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EPSS industry average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Probabilidad media explotación con priorización v4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B11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0.8%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 Threat metrics activas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Horas/analista año en gestión vulnerabilidades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B12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1.200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Coste hora analista seguridad (€)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B13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75</w:t>
            </w:r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</w:tr>
    </w:tbl>
    <w:p/>
    <w:p>
      <w:pPr>
        <w:pStyle w:val="Heading4"/>
        <w:keepNext/>
        <w:keepLines/>
      </w:pPr>
      <w:r>
        <w:t>Fórmulas de Cálculo ROI</w:t>
      </w:r>
    </w:p>
    <w:p>
      <w:r>
        <w:rPr>
          <w:b/>
        </w:rPr>
        <w:t>Celda C5 — Coste actual sin CVSS 4.0 completo: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=B5 * B6 * B8 + B5 * B6 * B10 * B9</w:t>
        <w:br/>
      </w:r>
    </w:p>
    <w:p>
      <w:r>
        <w:rPr>
          <w:i/>
        </w:rPr>
        <w:t>(CVEs a remediar × coste remediación) + (CVEs explotados × coste incidente)</w:t>
      </w:r>
    </w:p>
    <w:p>
      <w:r>
        <w:rPr>
          <w:b/>
        </w:rPr>
        <w:t>Celda C6 — Coste proyectado con CVSS 4.0 BTE: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=B5 * B7 * B8 + B5 * B7 * B11 * B9</w:t>
        <w:br/>
      </w:r>
    </w:p>
    <w:p>
      <w:r>
        <w:rPr>
          <w:b/>
        </w:rPr>
        <w:t>Celda C7 — Ahorro anual proyectado: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=C5 - C6</w:t>
        <w:br/>
      </w:r>
    </w:p>
    <w:p>
      <w:r>
        <w:rPr>
          <w:b/>
        </w:rPr>
        <w:t>Celda C8 — Coste implementación CVSS 4.0 (inversión):</w:t>
      </w:r>
      <w:r/>
      <w:r>
        <w:br/>
      </w:r>
      <w:r>
        <w:rPr>
          <w:i/>
        </w:rPr>
        <w:t>(Suma de herramientas + formación + horas analista)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=B_TOOL_COST + B_FORMACION_COST + (B12 * B13 * B_PCT_OVERHEAD)</w:t>
        <w:br/>
      </w:r>
    </w:p>
    <w:p>
      <w:r>
        <w:rPr>
          <w:b/>
        </w:rPr>
        <w:t>Celda C9 — ROI (%):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=((C7 - C8) / C8) * 100</w:t>
        <w:br/>
      </w:r>
    </w:p>
    <w:p>
      <w:r>
        <w:rPr>
          <w:b/>
        </w:rPr>
        <w:t>Celda C10 — Payback period (meses):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=SI(C7&gt;0, (C8/C7)*12, "No aplica — revisar parámetros")</w:t>
        <w:br/>
      </w:r>
    </w:p>
    <w:p>
      <w:pPr>
        <w:pStyle w:val="Heading3"/>
        <w:keepNext/>
        <w:keepLines/>
      </w:pPr>
      <w:r>
        <w:t>4.2 Análisis de Sensibilidad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CVEs activos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% Reducción Threat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Coste incidente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ROI proyectado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Conservador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300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200.000€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=CALCULAR(…)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Base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500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450.000€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=CALCULAR(…)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Optimista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800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76%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750.000€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=CALCULAR(…)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Sector público grande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1.500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70%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600.000€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=CALCULAR(…)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HOJA 5: DASHBOARD — Visualizaciones</w:t>
      </w:r>
    </w:p>
    <w:p>
      <w:pPr>
        <w:pStyle w:val="Heading3"/>
        <w:keepNext/>
        <w:keepLines/>
      </w:pPr>
      <w:r>
        <w:t>Gráficos a Configurar</w:t>
      </w:r>
    </w:p>
    <w:p>
      <w:r>
        <w:rPr>
          <w:b/>
        </w:rPr>
        <w:t>Gráfico 1 — Radar de Madurez por Dimensión (para una organización):</w:t>
      </w:r>
      <w:r/>
      <w:r>
        <w:br/>
        <w:t>- Tipo: Gráfico de radar</w:t>
      </w:r>
      <w:r/>
      <w:r>
        <w:br/>
        <w:t>- Datos: D3:D10 (8 dimensiones)</w:t>
      </w:r>
      <w:r/>
      <w:r>
        <w:br/>
        <w:t>- Series: Mi Organización / Media del Sector / Referencia CVSS CIG</w:t>
      </w:r>
      <w:r/>
      <w:r>
        <w:br/>
        <w:t>- Colores: Azul corporativo / Gris / Verde</w:t>
      </w:r>
    </w:p>
    <w:p>
      <w:r>
        <w:rPr>
          <w:b/>
        </w:rPr>
        <w:t>Gráfico 2 — Barras comparativas IGM por sector:</w:t>
      </w:r>
      <w:r/>
      <w:r>
        <w:br/>
        <w:t>- Tipo: Barras horizontales agrupadas</w:t>
      </w:r>
      <w:r/>
      <w:r>
        <w:br/>
        <w:t>- Datos: ANALISIS_SECTOR H2:H15</w:t>
      </w:r>
      <w:r/>
      <w:r>
        <w:br/>
        <w:t>- Colores: Codificados por nivel IGM (ver tabla 2.3)</w:t>
      </w:r>
    </w:p>
    <w:p>
      <w:r>
        <w:rPr>
          <w:b/>
        </w:rPr>
        <w:t>Gráfico 3 — Mapa de calor CCAA (simulado con formato condicional):</w:t>
      </w:r>
      <w:r/>
      <w:r>
        <w:br/>
        <w:t>- Tabla 19×1 con IGM medio por CCAA</w:t>
      </w:r>
      <w:r/>
      <w:r>
        <w:br/>
        <w:t>- Formato condicional escala 3 colores: Rojo→Amarillo→Verde</w:t>
      </w:r>
      <w:r/>
      <w:r>
        <w:br/>
        <w:t>- Rango: 1.0–5.0</w:t>
      </w:r>
    </w:p>
    <w:p>
      <w:r>
        <w:rPr>
          <w:b/>
        </w:rPr>
        <w:t>Gráfico 4 — Evolución temporal IGM (si hay datos longitudinales):</w:t>
      </w:r>
      <w:r/>
      <w:r>
        <w:br/>
        <w:t>- Tipo: Líneas con marcadores</w:t>
      </w:r>
      <w:r/>
      <w:r>
        <w:br/>
        <w:t>- Series: Por año de encuesta</w:t>
      </w:r>
      <w:r/>
      <w:r>
        <w:br/>
        <w:t>- Línea de referencia: Objetivo IGM ≥ 3.5</w:t>
      </w:r>
    </w:p>
    <w:p>
      <w:r>
        <w:rPr>
          <w:b/>
        </w:rPr>
        <w:t>Gráfico 5 — ROI vs. Inversión (dispersión por organización):</w:t>
      </w:r>
      <w:r/>
      <w:r>
        <w:br/>
        <w:t>- Tipo: Dispersión (scatter)</w:t>
      </w:r>
      <w:r/>
      <w:r>
        <w:br/>
        <w:t>- X: Inversión CVSS 4.0 (€)</w:t>
      </w:r>
      <w:r/>
      <w:r>
        <w:br/>
        <w:t>- Y: ROI proyectado (%)</w:t>
      </w:r>
      <w:r/>
      <w:r>
        <w:br/>
        <w:t>- Tamaño burbuja: Nº CVEs activos</w:t>
      </w:r>
    </w:p>
    <w:p>
      <w:pPr>
        <w:pStyle w:val="Heading2"/>
        <w:keepNext/>
        <w:keepLines/>
      </w:pPr>
      <w:r>
        <w:rPr>
          <w:color w:val="0066CC"/>
        </w:rPr>
        <w:t>HOJA 6: HOJA_CODIGOS — Libro de Códigos</w:t>
      </w:r>
    </w:p>
    <w:p>
      <w:r>
        <w:rPr>
          <w:i/>
        </w:rPr>
        <w:t>(Tabla de codificación de todas las variables categóricas: Tipo_Org, CCAA, Rol, etc.)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Tipo_Org:</w:t>
        <w:br/>
        <w:t>1 = AGE          2 = CCAA         3 = Entidad Local</w:t>
        <w:br/>
        <w:t>4 = Universidad  5 = Hospital     6 = Empresa pública</w:t>
        <w:br/>
        <w:t>7 = Financiero   8 = Energético   9 = Transporte</w:t>
        <w:br/>
        <w:t>10 = Telecom    11 = Regulado    12 = No regulado</w:t>
        <w:br/>
        <w:t>13 = MSSP       14 = Consultoría</w:t>
        <w:br/>
        <w:br/>
        <w:t>ENS_Categoria:</w:t>
        <w:br/>
        <w:t>1 = ALTO         2 = MEDIO        3 = BAJO</w:t>
        <w:br/>
        <w:t>4 = No categorizado   5 = No aplica</w:t>
        <w:br/>
        <w:br/>
        <w:t>CCAA (código INE):</w:t>
        <w:br/>
        <w:t>01=AN 02=AR 03=AS 04=IB 05=CN 06=CB 07=CM 08=CL</w:t>
        <w:br/>
        <w:t>09=CT 10=EX 11=GA 12=LR 13=MD 14=MU 15=NC 16=PV</w:t>
        <w:br/>
        <w:t>17=VC 18=CE 19=ML</w:t>
        <w:br/>
      </w:r>
    </w:p>
    <w:p>
      <w:pPr>
        <w:pStyle w:val="Heading2"/>
        <w:keepNext/>
        <w:keepLines/>
      </w:pPr>
      <w:r>
        <w:rPr>
          <w:color w:val="0066CC"/>
        </w:rPr>
        <w:t>INSTRUCCIONES DE IMPLEMENTACIÓN</w:t>
      </w:r>
    </w:p>
    <w:p>
      <w:pPr>
        <w:pStyle w:val="Heading3"/>
        <w:keepNext/>
        <w:keepLines/>
      </w:pPr>
      <w:r>
        <w:t>Paso 1 — Activar Macros</w:t>
      </w:r>
    </w:p>
    <w:p>
      <w:r>
        <w:t>El archivo requiere macros habilitadas para:</w:t>
      </w:r>
      <w:r/>
      <w:r>
        <w:br/>
        <w:t>- Importación automática desde CSV de exportación de la plataforma de encuesta</w:t>
      </w:r>
      <w:r/>
      <w:r>
        <w:br/>
        <w:t>- Actualización de gráficos con nuevos datos</w:t>
      </w:r>
      <w:r/>
      <w:r>
        <w:br/>
        <w:t>- Generación del informe ejecutivo automático</w:t>
      </w:r>
    </w:p>
    <w:p>
      <w:pPr>
        <w:pStyle w:val="Heading3"/>
        <w:keepNext/>
        <w:keepLines/>
      </w:pPr>
      <w:r>
        <w:t>Paso 2 — Personalizar Parámetros ROI</w:t>
      </w:r>
    </w:p>
    <w:p>
      <w:r>
        <w:t>Ajustar en HOJA ROI_CVSS las celdas B8–B13 según los datos reales de la organización.</w:t>
      </w:r>
    </w:p>
    <w:p>
      <w:pPr>
        <w:pStyle w:val="Heading3"/>
        <w:keepNext/>
        <w:keepLines/>
      </w:pPr>
      <w:r>
        <w:t>Paso 3 — Introducción de Datos</w:t>
      </w:r>
    </w:p>
    <w:p>
      <w:r>
        <w:t>Opción A (manual): Rellenar DATOS_ENCUESTA columna por columna siguiendo el libro de códigos.</w:t>
      </w:r>
      <w:r/>
      <w:r>
        <w:br/>
        <w:t>Opción B (importación): Usar la macro "Importar_CSV" con el archivo exportado de LimeSurvey/Qualtrics.</w:t>
      </w:r>
    </w:p>
    <w:p>
      <w:pPr>
        <w:pStyle w:val="Heading3"/>
        <w:keepNext/>
        <w:keepLines/>
      </w:pPr>
      <w:r>
        <w:t>Paso 4 — Interpretación del IGM</w:t>
      </w:r>
    </w:p>
    <w:p>
      <w:r>
        <w:t>Consultar la tabla de niveles de madurez (Hoja IGM_CALCULO, sección 2.3) para la interpretación y el plan de acción recomendado.</w:t>
      </w:r>
    </w:p>
    <w:p>
      <w:pPr>
        <w:pStyle w:val="Heading2"/>
        <w:keepNext/>
        <w:keepLines/>
      </w:pPr>
      <w:r>
        <w:rPr>
          <w:color w:val="0066CC"/>
        </w:rPr>
        <w:t>FÓRMULA CONSOLIDADA IGM (REFERENCIA RÁPIDA)</w:t>
      </w:r>
    </w:p>
    <w:p>
      <w:r>
        <w:t>[IGM = \sum_{i=1}^{8} w_i \cdot D_i]</w:t>
      </w:r>
    </w:p>
    <w:p>
      <w:r>
        <w:t>Donde:</w:t>
      </w:r>
      <w:r/>
      <w:r>
        <w:br/>
        <w:t>- (w_i) = peso de cada dimensión (ver tabla 2.1)</w:t>
      </w:r>
      <w:r/>
      <w:r>
        <w:br/>
        <w:t>- (D_i) = puntuación normalizada en escala 1–5 de cada dimensión</w:t>
      </w:r>
      <w:r/>
      <w:r>
        <w:br/>
        <w:t>- (IGM \in [1.0, 5.0])</w:t>
      </w:r>
    </w:p>
    <w:p>
      <w:r>
        <w:rPr>
          <w:b/>
        </w:rPr>
        <w:t>Umbral mínimo recomendado para sector público español:</w:t>
      </w:r>
      <w:r>
        <w:t xml:space="preserve"> IGM ≥ 3.0 (proceso definido y documentado)</w:t>
      </w:r>
      <w:r/>
      <w:r>
        <w:br/>
      </w:r>
      <w:r>
        <w:rPr>
          <w:b/>
        </w:rPr>
        <w:t>Objetivo a 2 años para entidades ENS Alto:</w:t>
      </w:r>
      <w:r>
        <w:t xml:space="preserve"> IGM ≥ 4.0 (proceso gestionado con métricas)</w:t>
      </w:r>
    </w:p>
    <w:p>
      <w:r>
        <w:rPr>
          <w:b/>
        </w:rPr>
        <w:t>Kit de Encuesta CVSS 4.0 · España 2025–2026 · Plantilla Excel IGM y ROI</w:t>
      </w:r>
      <w:r/>
      <w:r>
        <w:br/>
      </w:r>
      <w:r>
        <w:rPr>
          <w:b/>
        </w:rPr>
        <w:t>Versión 1.0 · Abril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