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📑 PLANTILLA DE REPORTE EJECUTIVO</w:t>
      </w:r>
    </w:p>
    <w:p>
      <w:pPr>
        <w:pStyle w:val="Heading2"/>
        <w:keepNext/>
        <w:keepLines/>
      </w:pPr>
      <w:r>
        <w:rPr>
          <w:color w:val="0066CC"/>
        </w:rPr>
        <w:t>Estructura y Contenido para Presentación PowerPoint</w:t>
      </w:r>
    </w:p>
    <w:p>
      <w:pPr>
        <w:pStyle w:val="Heading3"/>
        <w:keepNext/>
        <w:keepLines/>
      </w:pPr>
      <w:r>
        <w:t>Resultados de la Encuesta CVSS 4.0 · España 2025–2026</w:t>
      </w:r>
    </w:p>
    <w:p>
      <w:pPr>
        <w:pStyle w:val="Heading3"/>
        <w:keepNext/>
        <w:keepLines/>
      </w:pPr>
      <w:r>
        <w:t>Kit de Encuesta · Versión 1.0 · Abril 2026</w:t>
      </w:r>
    </w:p>
    <w:p>
      <w:r>
        <w:rPr>
          <w:i/>
        </w:rPr>
        <w:t>"Un buen reporte ejecutivo no informa de lo que pasó. Provoca la decisión de lo que debe pasar."</w:t>
      </w:r>
    </w:p>
    <w:p>
      <w:pPr>
        <w:pStyle w:val="Heading2"/>
        <w:keepNext/>
        <w:keepLines/>
      </w:pPr>
      <w:r>
        <w:rPr>
          <w:color w:val="0066CC"/>
        </w:rPr>
        <w:t>ESPECIFICACIONES TÉCNICAS DEL ARCHIVO PPT</w:t>
      </w:r>
    </w:p>
    <w:p>
      <w:pPr>
        <w:pStyle w:val="ListBullet"/>
        <w:keepLines w:val="1"/>
        <w:keepNext w:val="1"/>
        <w:widowControl w:val="1"/>
      </w:pPr>
      <w:r>
        <w:t>Formato: Microsoft PowerPoint (.pptx) / Google Slides</w:t>
      </w:r>
    </w:p>
    <w:p>
      <w:pPr>
        <w:pStyle w:val="ListBullet"/>
        <w:keepLines w:val="1"/>
        <w:keepNext w:val="1"/>
        <w:widowControl w:val="1"/>
      </w:pPr>
      <w:r>
        <w:t>Relación de aspecto: 16:9 (1920×1080 px)</w:t>
      </w:r>
    </w:p>
    <w:p>
      <w:pPr>
        <w:pStyle w:val="ListBullet"/>
        <w:keepLines w:val="1"/>
        <w:keepNext w:val="1"/>
        <w:widowControl w:val="1"/>
      </w:pPr>
      <w:r>
        <w:t>Paleta de colores corporativa:</w:t>
      </w:r>
    </w:p>
    <w:p>
      <w:pPr>
        <w:pStyle w:val="ListBullet"/>
        <w:keepLines w:val="1"/>
        <w:keepNext w:val="1"/>
        <w:widowControl w:val="1"/>
      </w:pPr>
      <w:r>
        <w:t>Azul CCN: #003A8C (headings, énfasis)</w:t>
      </w:r>
    </w:p>
    <w:p>
      <w:pPr>
        <w:pStyle w:val="ListBullet"/>
        <w:keepLines w:val="1"/>
        <w:keepNext w:val="1"/>
        <w:widowControl w:val="1"/>
      </w:pPr>
      <w:r>
        <w:t>Rojo alerta: #C0392B (niveles críticos, gaps)</w:t>
      </w:r>
    </w:p>
    <w:p>
      <w:pPr>
        <w:pStyle w:val="ListBullet"/>
        <w:keepLines w:val="1"/>
        <w:keepNext w:val="1"/>
        <w:widowControl w:val="1"/>
      </w:pPr>
      <w:r>
        <w:t>Verde madurez: #1A7A3C (logros, niveles altos)</w:t>
      </w:r>
    </w:p>
    <w:p>
      <w:pPr>
        <w:pStyle w:val="ListBullet"/>
        <w:keepLines w:val="1"/>
        <w:keepNext w:val="1"/>
        <w:widowControl w:val="1"/>
      </w:pPr>
      <w:r>
        <w:t>Gris neutro: #5D6D7E (datos secundarios)</w:t>
      </w:r>
    </w:p>
    <w:p>
      <w:pPr>
        <w:pStyle w:val="ListBullet"/>
        <w:keepLines w:val="1"/>
        <w:keepNext w:val="1"/>
        <w:widowControl w:val="1"/>
      </w:pPr>
      <w:r>
        <w:t>Amarillo medio: #D4AC0D (niveles medios, advertencias)</w:t>
      </w:r>
    </w:p>
    <w:p>
      <w:pPr>
        <w:pStyle w:val="ListBullet"/>
        <w:keepLines w:val="1"/>
        <w:keepNext w:val="1"/>
        <w:widowControl w:val="1"/>
      </w:pPr>
      <w:r>
        <w:t>Blanco: #FFFFFF (fondo limpio)</w:t>
      </w:r>
    </w:p>
    <w:p>
      <w:pPr>
        <w:pStyle w:val="ListBullet"/>
        <w:keepLines w:val="1"/>
        <w:keepNext w:val="1"/>
        <w:widowControl w:val="1"/>
      </w:pPr>
      <w:r>
        <w:t>Tipografía: Calibri / Arial (sans-serif; accesible y compatible)</w:t>
      </w:r>
    </w:p>
    <w:p>
      <w:pPr>
        <w:pStyle w:val="ListBullet"/>
        <w:keepLines w:val="1"/>
        <w:widowControl w:val="1"/>
      </w:pPr>
      <w:r>
        <w:t>Duración recomendada de presentación: 25–35 minutos + Q&amp;A</w:t>
      </w:r>
    </w:p>
    <w:p>
      <w:pPr>
        <w:pStyle w:val="Heading2"/>
        <w:keepNext/>
        <w:keepLines/>
      </w:pPr>
      <w:r>
        <w:rPr>
          <w:color w:val="0066CC"/>
        </w:rPr>
        <w:t>ESTRUCTURA COMPLETA DEL DECK (28 DIAPOSITIVAS)</w:t>
      </w:r>
    </w:p>
    <w:p>
      <w:pPr>
        <w:pStyle w:val="Heading3"/>
        <w:keepNext/>
        <w:keepLines/>
      </w:pPr>
      <w:r>
        <w:t>DIAPOSITIVA 1 — PORTADA</w:t>
      </w:r>
    </w:p>
    <w:p>
      <w:r>
        <w:rPr>
          <w:b/>
        </w:rPr>
        <w:t>Elementos:</w:t>
      </w:r>
      <w:r/>
      <w:r>
        <w:br/>
        <w:t>- Logo de la organización (placeholder superior izquierda, 200×80px)</w:t>
      </w:r>
      <w:r/>
      <w:r>
        <w:br/>
        <w:t>- Logo FIRST CVSS + ENISA (superior derecha)</w:t>
      </w:r>
      <w:r/>
      <w:r>
        <w:br/>
        <w:t>- Título principal (48pt, negrita, blanco sobre fondo azul CCN):</w:t>
      </w:r>
      <w:r/>
      <w:r>
        <w:br/>
      </w:r>
      <w:r>
        <w:rPr>
          <w:rFonts w:ascii="Courier New" w:hAnsi="Courier New"/>
          <w:sz w:val="18"/>
        </w:rPr>
        <w:t>"MADUREZ EN GESTIÓN DE VULNERABILIDADES CVSS 4.0"</w:t>
      </w:r>
      <w:r/>
      <w:r>
        <w:br/>
        <w:t>- Subtítulo (28pt, gris claro):</w:t>
      </w:r>
      <w:r/>
      <w:r>
        <w:br/>
      </w:r>
      <w:r>
        <w:rPr>
          <w:rFonts w:ascii="Courier New" w:hAnsi="Courier New"/>
          <w:sz w:val="18"/>
        </w:rPr>
        <w:t>"Diagnóstico del Sector Público Español · 2025–2026"</w:t>
      </w:r>
      <w:r/>
      <w:r>
        <w:br/>
        <w:t>- Fecha y versión del informe (pie de página, 12pt)</w:t>
      </w:r>
      <w:r/>
      <w:r>
        <w:br/>
        <w:t>- Imagen de fondo: mapa conceptual de métricas CVSS 4.0 en tono azul oscuro (semitransparente)</w:t>
      </w:r>
    </w:p>
    <w:p>
      <w:pPr>
        <w:pStyle w:val="Heading3"/>
        <w:keepNext/>
        <w:keepLines/>
      </w:pPr>
      <w:r>
        <w:t>DIAPOSITIVA 2 — AGENDA / TABLA DE CONTENIDOS</w:t>
      </w:r>
    </w:p>
    <w:p>
      <w:r>
        <w:rPr>
          <w:b/>
        </w:rPr>
        <w:t>Elementos:</w:t>
      </w:r>
      <w:r/>
      <w:r>
        <w:br/>
        <w:t>- Icono numerado para cada bloque:</w:t>
      </w:r>
      <w:r/>
      <w:r>
        <w:br/>
        <w:t xml:space="preserve">  1. 📊 Contexto y metodología (diap. 3–5)</w:t>
      </w:r>
      <w:r/>
      <w:r>
        <w:br/>
        <w:t xml:space="preserve">  2. 🔍 Perfil de la muestra (diap. 6–7)</w:t>
      </w:r>
      <w:r/>
      <w:r>
        <w:br/>
        <w:t xml:space="preserve">  3. 🧩 Hallazgos por dimensión CVSS (diap. 8–18)</w:t>
      </w:r>
      <w:r/>
      <w:r>
        <w:br/>
        <w:t xml:space="preserve">  4. 📈 Índice de Madurez Global (IGM) (diap. 19–21)</w:t>
      </w:r>
      <w:r/>
      <w:r>
        <w:br/>
        <w:t xml:space="preserve">  5. ⚖️ Alineación normativa (diap. 22–24)</w:t>
      </w:r>
      <w:r/>
      <w:r>
        <w:br/>
        <w:t xml:space="preserve">  6. 🎯 Recomendaciones estratégicas (diap. 25–26)</w:t>
      </w:r>
      <w:r/>
      <w:r>
        <w:br/>
        <w:t xml:space="preserve">  7. 🔮 Tendencias y hoja de ruta (diap. 27)</w:t>
      </w:r>
      <w:r/>
      <w:r>
        <w:br/>
        <w:t xml:space="preserve">  8. 📎 Apéndice metodológico (diap. 28)</w:t>
      </w:r>
    </w:p>
    <w:p>
      <w:pPr>
        <w:pStyle w:val="Heading3"/>
        <w:keepNext/>
        <w:keepLines/>
      </w:pPr>
      <w:r>
        <w:t>DIAPOSITIVA 3 — CONTEXTO: EL PROBLEMA MEDIDO</w:t>
      </w:r>
    </w:p>
    <w:p>
      <w:r>
        <w:rPr>
          <w:b/>
        </w:rPr>
        <w:t>Elementos:</w:t>
      </w:r>
      <w:r/>
      <w:r>
        <w:br/>
        <w:t xml:space="preserve">- Título: </w:t>
      </w:r>
      <w:r>
        <w:rPr>
          <w:rFonts w:ascii="Courier New" w:hAnsi="Courier New"/>
          <w:sz w:val="18"/>
        </w:rPr>
        <w:t>"El ecosistema que esta encuesta quiere radiografiar"</w:t>
      </w:r>
      <w:r/>
      <w:r>
        <w:br/>
        <w:t>- Tres columnas de datos contextuales (fuente: INCIBE/CCN 2025):</w:t>
      </w:r>
      <w:r/>
      <w:r>
        <w:br/>
        <w:t xml:space="preserve">  - </w:t>
      </w:r>
      <w:r>
        <w:rPr>
          <w:b/>
        </w:rPr>
        <w:t>Columna 1:</w:t>
      </w:r>
      <w:r>
        <w:t xml:space="preserve"> </w:t>
      </w:r>
      <w:r>
        <w:rPr>
          <w:rFonts w:ascii="Courier New" w:hAnsi="Courier New"/>
          <w:sz w:val="18"/>
        </w:rPr>
        <w:t>122.223 incidentes INCIBE 2025</w:t>
      </w:r>
      <w:r>
        <w:t xml:space="preserve"> (+26%) + icono alerta</w:t>
      </w:r>
      <w:r/>
      <w:r>
        <w:br/>
        <w:t xml:space="preserve">  - </w:t>
      </w:r>
      <w:r>
        <w:rPr>
          <w:b/>
        </w:rPr>
        <w:t>Columna 2:</w:t>
      </w:r>
      <w:r>
        <w:t xml:space="preserve"> </w:t>
      </w:r>
      <w:r>
        <w:rPr>
          <w:rFonts w:ascii="Courier New" w:hAnsi="Courier New"/>
          <w:sz w:val="18"/>
        </w:rPr>
        <w:t>237.028 sistemas vulnerables detectados</w:t>
      </w:r>
      <w:r>
        <w:t xml:space="preserve"> + icono bug</w:t>
      </w:r>
      <w:r/>
      <w:r>
        <w:br/>
        <w:t xml:space="preserve">  - </w:t>
      </w:r>
      <w:r>
        <w:rPr>
          <w:b/>
        </w:rPr>
        <w:t>Columna 3:</w:t>
      </w:r>
      <w:r>
        <w:t xml:space="preserve"> </w:t>
      </w:r>
      <w:r>
        <w:rPr>
          <w:rFonts w:ascii="Courier New" w:hAnsi="Courier New"/>
          <w:sz w:val="18"/>
        </w:rPr>
        <w:t>48.185 CVEs publicados en 2025</w:t>
      </w:r>
      <w:r>
        <w:t xml:space="preserve"> (+20.6%) + icono código</w:t>
      </w:r>
      <w:r/>
      <w:r>
        <w:br/>
        <w:t>- Cita destacada (bloque de cita, fondo gris claro):</w:t>
      </w:r>
      <w:r/>
      <w:r>
        <w:br/>
      </w:r>
      <w:r>
        <w:rPr>
          <w:i/>
        </w:rPr>
        <w:t>"Solo el 2,4% de los CVEs tienen puntuación CVSS v4 asignada. El 62% de los scores NVD son incorrectos."</w:t>
      </w:r>
      <w:r/>
      <w:r>
        <w:br/>
        <w:t>- Fuente al pie: FIRST CVSS SIG / NVD Statistics 2025</w:t>
      </w:r>
    </w:p>
    <w:p>
      <w:pPr>
        <w:pStyle w:val="Heading3"/>
        <w:keepNext/>
        <w:keepLines/>
      </w:pPr>
      <w:r>
        <w:t>DIAPOSITIVA 4 — METODOLOGÍA: DISEÑO DE LA ENCUESTA</w:t>
      </w:r>
    </w:p>
    <w:p>
      <w:r>
        <w:rPr>
          <w:b/>
        </w:rPr>
        <w:t>Elementos:</w:t>
      </w:r>
      <w:r/>
      <w:r>
        <w:br/>
        <w:t xml:space="preserve">- Título: </w:t>
      </w:r>
      <w:r>
        <w:rPr>
          <w:rFonts w:ascii="Courier New" w:hAnsi="Courier New"/>
          <w:sz w:val="18"/>
        </w:rPr>
        <w:t>"Cómo hemos medido lo que importa"</w:t>
      </w:r>
      <w:r/>
      <w:r>
        <w:br/>
        <w:t>- Infografía de 5 bloques en línea horizontal:</w:t>
      </w:r>
      <w:r/>
      <w:r>
        <w:br/>
        <w:t xml:space="preserve">  1. </w:t>
      </w:r>
      <w:r>
        <w:rPr>
          <w:b/>
        </w:rPr>
        <w:t>Diseño</w:t>
      </w:r>
      <w:r>
        <w:t xml:space="preserve"> → Mixto cuantitativo-cualitativo</w:t>
      </w:r>
      <w:r/>
      <w:r>
        <w:br/>
        <w:t xml:space="preserve">  2. </w:t>
      </w:r>
      <w:r>
        <w:rPr>
          <w:b/>
        </w:rPr>
        <w:t>Muestra</w:t>
      </w:r>
      <w:r>
        <w:t xml:space="preserve"> → N=525+ organizaciones</w:t>
      </w:r>
      <w:r/>
      <w:r>
        <w:br/>
        <w:t xml:space="preserve">  3. </w:t>
      </w:r>
      <w:r>
        <w:rPr>
          <w:b/>
        </w:rPr>
        <w:t>Instrumento</w:t>
      </w:r>
      <w:r>
        <w:t xml:space="preserve"> → 64 ítems, 11 secciones</w:t>
      </w:r>
      <w:r/>
      <w:r>
        <w:br/>
        <w:t xml:space="preserve">  4. </w:t>
      </w:r>
      <w:r>
        <w:rPr>
          <w:b/>
        </w:rPr>
        <w:t>Campo</w:t>
      </w:r>
      <w:r>
        <w:t xml:space="preserve"> → Abril–Junio 2026</w:t>
      </w:r>
      <w:r/>
      <w:r>
        <w:br/>
        <w:t xml:space="preserve">  5. </w:t>
      </w:r>
      <w:r>
        <w:rPr>
          <w:b/>
        </w:rPr>
        <w:t>Análisis</w:t>
      </w:r>
      <w:r>
        <w:t xml:space="preserve"> → ANOVA, regresión, NLP</w:t>
      </w:r>
      <w:r/>
      <w:r>
        <w:br/>
        <w:t>- Tabla de segmentos (compacta, 6 filas): Tipo organización / N / % muestra</w:t>
      </w:r>
    </w:p>
    <w:p>
      <w:pPr>
        <w:pStyle w:val="Heading3"/>
        <w:keepNext/>
        <w:keepLines/>
      </w:pPr>
      <w:r>
        <w:t>DIAPOSITIVA 5 — CONTEXTO NORMATIVO: EL MARCO REGULATORIO</w:t>
      </w:r>
    </w:p>
    <w:p>
      <w:r>
        <w:rPr>
          <w:b/>
        </w:rPr>
        <w:t>Elementos:</w:t>
      </w:r>
      <w:r/>
      <w:r>
        <w:br/>
        <w:t xml:space="preserve">- Título: </w:t>
      </w:r>
      <w:r>
        <w:rPr>
          <w:rFonts w:ascii="Courier New" w:hAnsi="Courier New"/>
          <w:sz w:val="18"/>
        </w:rPr>
        <w:t>"La regulación que hace inevitable esta conversación"</w:t>
      </w:r>
      <w:r/>
      <w:r>
        <w:br/>
        <w:t>- Timeline horizontal (2022–2026):</w:t>
      </w:r>
      <w:r/>
      <w:r>
        <w:br/>
        <w:t xml:space="preserve">  - Oct 2022: NIS2 adoptada</w:t>
      </w:r>
      <w:r/>
      <w:r>
        <w:br/>
        <w:t xml:space="preserve">  - Ene 2023: DORA adoptada</w:t>
      </w:r>
      <w:r/>
      <w:r>
        <w:br/>
        <w:t xml:space="preserve">  - Nov 2023: CVSS 4.0 publicado ✓</w:t>
      </w:r>
      <w:r/>
      <w:r>
        <w:br/>
        <w:t xml:space="preserve">  - Oct 2024: NIS2 en vigor</w:t>
      </w:r>
      <w:r/>
      <w:r>
        <w:br/>
        <w:t xml:space="preserve">  - Ene 2025: DORA en vigor</w:t>
      </w:r>
      <w:r/>
      <w:r>
        <w:br/>
        <w:t xml:space="preserve">  - Abr 2025: EUVD lanzada</w:t>
      </w:r>
      <w:r/>
      <w:r>
        <w:br/>
        <w:t xml:space="preserve">  - Oct 2024: CRA adoptado</w:t>
      </w:r>
      <w:r/>
      <w:r>
        <w:br/>
        <w:t xml:space="preserve">  - Sep 2026: CRA en vigor (próximo)</w:t>
      </w:r>
      <w:r/>
      <w:r>
        <w:br/>
        <w:t>- Nota al pie: "El CRA obliga a notificar vulnerabilidades explotadas a ENISA en 24h desde septiembre 2026"</w:t>
      </w:r>
    </w:p>
    <w:p>
      <w:pPr>
        <w:pStyle w:val="Heading3"/>
        <w:keepNext/>
        <w:keepLines/>
      </w:pPr>
      <w:r>
        <w:t>DIAPOSITIVA 6 — PERFIL DE LA MUESTRA (1/2)</w:t>
      </w:r>
    </w:p>
    <w:p>
      <w:r>
        <w:rPr>
          <w:b/>
        </w:rPr>
        <w:t>Elementos:</w:t>
      </w:r>
      <w:r/>
      <w:r>
        <w:br/>
        <w:t xml:space="preserve">- Título: </w:t>
      </w:r>
      <w:r>
        <w:rPr>
          <w:rFonts w:ascii="Courier New" w:hAnsi="Courier New"/>
          <w:sz w:val="18"/>
        </w:rPr>
        <w:t>"Quiénes respondieron"</w:t>
      </w:r>
      <w:r/>
      <w:r>
        <w:br/>
        <w:t>- Gráfico de donut (izquierda): Distribución por tipo de organización</w:t>
      </w:r>
      <w:r/>
      <w:r>
        <w:br/>
        <w:t xml:space="preserve">  - AGE + CCAA: 21%</w:t>
      </w:r>
      <w:r/>
      <w:r>
        <w:br/>
        <w:t xml:space="preserve">  - Entidades locales: 15%</w:t>
      </w:r>
      <w:r/>
      <w:r>
        <w:br/>
        <w:t xml:space="preserve">  - Sector sanitario: 11%</w:t>
      </w:r>
      <w:r/>
      <w:r>
        <w:br/>
        <w:t xml:space="preserve">  - Sector financiero: 10%</w:t>
      </w:r>
      <w:r/>
      <w:r>
        <w:br/>
        <w:t xml:space="preserve">  - Otros sectores regulados: 43%</w:t>
      </w:r>
      <w:r/>
      <w:r>
        <w:br/>
        <w:t>- Gráfico de barras (derecha): Distribución por tamaño organizacional</w:t>
      </w:r>
      <w:r/>
      <w:r>
        <w:br/>
        <w:t>- Nota: "El 68% de los informantes tiene cargo CISO, RSI o equivalente"</w:t>
      </w:r>
    </w:p>
    <w:p>
      <w:pPr>
        <w:pStyle w:val="Heading3"/>
        <w:keepNext/>
        <w:keepLines/>
      </w:pPr>
      <w:r>
        <w:t>DIAPOSITIVA 7 — PERFIL DE LA MUESTRA (2/2)</w:t>
      </w:r>
    </w:p>
    <w:p>
      <w:r>
        <w:rPr>
          <w:b/>
        </w:rPr>
        <w:t>Elementos:</w:t>
      </w:r>
      <w:r/>
      <w:r>
        <w:br/>
        <w:t>- Mapa de España con coropletas (intensidad de color por nº respuestas por CCAA)</w:t>
      </w:r>
      <w:r/>
      <w:r>
        <w:br/>
        <w:t>- Tabla lateral: Top 5 CCAA por participación</w:t>
      </w:r>
      <w:r/>
      <w:r>
        <w:br/>
        <w:t>- Dato destacado: Años de experiencia del informante (media = X años)</w:t>
      </w:r>
    </w:p>
    <w:p>
      <w:pPr>
        <w:pStyle w:val="Heading3"/>
        <w:keepNext/>
        <w:keepLines/>
      </w:pPr>
      <w:r>
        <w:t>DIAPOSITIVA 8 — HALLAZGO CLAVE 1: ADOPCIÓN CVSS 4.0</w:t>
      </w:r>
    </w:p>
    <w:p>
      <w:r>
        <w:rPr>
          <w:b/>
        </w:rPr>
        <w:t>Elementos:</w:t>
      </w:r>
      <w:r/>
      <w:r>
        <w:br/>
        <w:t xml:space="preserve">- Título: </w:t>
      </w:r>
      <w:r>
        <w:rPr>
          <w:rFonts w:ascii="Courier New" w:hAnsi="Courier New"/>
          <w:sz w:val="18"/>
        </w:rPr>
        <w:t>"La versión 4.0: el estándar que (casi) nadie usa todavía"</w:t>
      </w:r>
      <w:r/>
      <w:r>
        <w:br/>
        <w:t xml:space="preserve">- KPI grande centrado: </w:t>
      </w:r>
      <w:r>
        <w:rPr>
          <w:b/>
        </w:rPr>
        <w:t>[X%]</w:t>
      </w:r>
      <w:r>
        <w:t xml:space="preserve"> de organizaciones usa CVSS 4.0 como referencia principal</w:t>
      </w:r>
      <w:r/>
      <w:r>
        <w:br/>
        <w:t>- Barra de progreso comparativa:</w:t>
      </w:r>
      <w:r/>
      <w:r>
        <w:br/>
        <w:t xml:space="preserve">  - Global (NVD): 2,4% CVEs con v4 ← línea de referencia</w:t>
      </w:r>
      <w:r/>
      <w:r>
        <w:br/>
        <w:t xml:space="preserve">  - Sector público España: [resultado encuesta]%</w:t>
      </w:r>
      <w:r/>
      <w:r>
        <w:br/>
        <w:t xml:space="preserve">  - Sector privado España: [resultado encuesta]%</w:t>
      </w:r>
      <w:r/>
      <w:r>
        <w:br/>
        <w:t>- Callout destacado (fondo rojo suave):</w:t>
      </w:r>
      <w:r/>
      <w:r>
        <w:br/>
      </w:r>
      <w:r>
        <w:rPr>
          <w:i/>
        </w:rPr>
        <w:t>"[X%] de organizaciones sigue usando el CVSS Base Score del proveedor como puntuación definitiva"</w:t>
      </w:r>
    </w:p>
    <w:p>
      <w:pPr>
        <w:pStyle w:val="Heading3"/>
        <w:keepNext/>
        <w:keepLines/>
      </w:pPr>
      <w:r>
        <w:t>DIAPOSITIVA 9 — HALLAZGO CLAVE 2: MÉTRICAS BASE</w:t>
      </w:r>
    </w:p>
    <w:p>
      <w:r>
        <w:rPr>
          <w:b/>
        </w:rPr>
        <w:t>Elementos:</w:t>
      </w:r>
      <w:r/>
      <w:r>
        <w:br/>
        <w:t xml:space="preserve">- Título: </w:t>
      </w:r>
      <w:r>
        <w:rPr>
          <w:rFonts w:ascii="Courier New" w:hAnsi="Courier New"/>
          <w:sz w:val="18"/>
        </w:rPr>
        <w:t>"La base: ¿la cuestionamos o la aceptamos a ciegas?"</w:t>
      </w:r>
      <w:r/>
      <w:r>
        <w:br/>
        <w:t>- Gauge chart (0–5): Madurez media dimensión D2 = [valor]</w:t>
      </w:r>
      <w:r/>
      <w:r>
        <w:br/>
        <w:t>- Bullet points de hallazgos:</w:t>
      </w:r>
      <w:r/>
      <w:r>
        <w:br/>
        <w:t xml:space="preserve">  - % que diferencia VC/VA vs SC/SA</w:t>
      </w:r>
      <w:r/>
      <w:r>
        <w:br/>
        <w:t xml:space="preserve">  - % que cuestiona la puntuación del proveedor</w:t>
      </w:r>
      <w:r/>
      <w:r>
        <w:br/>
        <w:t xml:space="preserve">  - % con cobertura de escaneo &gt;80%</w:t>
      </w:r>
      <w:r/>
      <w:r>
        <w:br/>
        <w:t>- Insight destacado: diferencia entre sector público grande vs. entidades locales</w:t>
      </w:r>
    </w:p>
    <w:p>
      <w:pPr>
        <w:pStyle w:val="Heading3"/>
        <w:keepNext/>
        <w:keepLines/>
      </w:pPr>
      <w:r>
        <w:t>DIAPOSITIVA 10 — HALLAZGO CLAVE 3: MÉTRICAS THREAT</w:t>
      </w:r>
    </w:p>
    <w:p>
      <w:r>
        <w:rPr>
          <w:b/>
        </w:rPr>
        <w:t>Elementos:</w:t>
      </w:r>
      <w:r/>
      <w:r>
        <w:br/>
        <w:t xml:space="preserve">- Título: </w:t>
      </w:r>
      <w:r>
        <w:rPr>
          <w:rFonts w:ascii="Courier New" w:hAnsi="Courier New"/>
          <w:sz w:val="18"/>
        </w:rPr>
        <w:t>"El exploit activo: lo que cambia todo... cuando se sabe"</w:t>
      </w:r>
      <w:r/>
      <w:r>
        <w:br/>
        <w:t>- Split visual 60/40:</w:t>
      </w:r>
      <w:r/>
      <w:r>
        <w:br/>
        <w:t xml:space="preserve">  - Izquierda (60%): Gráfico de anillo — % que usa métricas Threat sistemáticamente vs. ad hoc vs. nunca</w:t>
      </w:r>
      <w:r/>
      <w:r>
        <w:br/>
        <w:t xml:space="preserve">  - Derecha (40%): Top 5 fuentes de threat intelligence más usadas (barras horizontales)</w:t>
      </w:r>
      <w:r/>
      <w:r>
        <w:br/>
        <w:t>- Dato impacto (caja azul destacada):</w:t>
      </w:r>
      <w:r/>
      <w:r>
        <w:br/>
      </w:r>
      <w:r>
        <w:rPr>
          <w:i/>
        </w:rPr>
        <w:t>"CVSS v4 con Threat metrics: 65–76% menos vulnerabilidades a priorizar respecto al Base Score"</w:t>
      </w:r>
      <w:r/>
      <w:r>
        <w:br/>
        <w:t>- Fuente: FIRST CVSS SIG Empirical Data 2024</w:t>
      </w:r>
    </w:p>
    <w:p>
      <w:pPr>
        <w:pStyle w:val="Heading3"/>
        <w:keepNext/>
        <w:keepLines/>
      </w:pPr>
      <w:r>
        <w:t>DIAPOSITIVA 11 — HALLAZGO CLAVE 4: INTEGRACIÓN EUVD</w:t>
      </w:r>
    </w:p>
    <w:p>
      <w:r>
        <w:rPr>
          <w:b/>
        </w:rPr>
        <w:t>Elementos:</w:t>
      </w:r>
      <w:r/>
      <w:r>
        <w:br/>
        <w:t xml:space="preserve">- Título: </w:t>
      </w:r>
      <w:r>
        <w:rPr>
          <w:rFonts w:ascii="Courier New" w:hAnsi="Courier New"/>
          <w:sz w:val="18"/>
        </w:rPr>
        <w:t>"La EUVD: el nuevo nodo europeo de soberanía digital"</w:t>
      </w:r>
      <w:r/>
      <w:r>
        <w:br/>
        <w:t>- Tres KPIs en fila:</w:t>
      </w:r>
      <w:r/>
      <w:r>
        <w:br/>
        <w:t xml:space="preserve">  - [X%] conoce la EUVD</w:t>
      </w:r>
      <w:r/>
      <w:r>
        <w:br/>
        <w:t xml:space="preserve">  - [Y%] la ha integrado formalmente</w:t>
      </w:r>
      <w:r/>
      <w:r>
        <w:br/>
        <w:t xml:space="preserve">  - [Z%] la usa como referencia primaria</w:t>
      </w:r>
      <w:r/>
      <w:r>
        <w:br/>
        <w:t>- Comparativa: NVD vs INCIBE-CERT vs EUVD como fuentes primarias (gráfico de barras apiladas)</w:t>
      </w:r>
      <w:r/>
      <w:r>
        <w:br/>
        <w:t>- Nota: "Lanzada por ENISA en abril 2025; alternativa europea al NVD ante la crisis de financiación del NIST"</w:t>
      </w:r>
    </w:p>
    <w:p>
      <w:pPr>
        <w:pStyle w:val="Heading3"/>
        <w:keepNext/>
        <w:keepLines/>
      </w:pPr>
      <w:r>
        <w:t>DIAPOSITIVA 12 — HALLAZGO CLAVE 5: MÉTRICAS ENVIRONMENTAL</w:t>
      </w:r>
    </w:p>
    <w:p>
      <w:r>
        <w:rPr>
          <w:b/>
        </w:rPr>
        <w:t>Elementos:</w:t>
      </w:r>
      <w:r/>
      <w:r>
        <w:br/>
        <w:t xml:space="preserve">- Título: </w:t>
      </w:r>
      <w:r>
        <w:rPr>
          <w:rFonts w:ascii="Courier New" w:hAnsi="Courier New"/>
          <w:sz w:val="18"/>
        </w:rPr>
        <w:t>"El contexto que convierte el dato en decisión"</w:t>
      </w:r>
      <w:r/>
      <w:r>
        <w:br/>
        <w:t>- Radar chart comparando las 4 sub-dimensiones:</w:t>
      </w:r>
      <w:r/>
      <w:r>
        <w:br/>
        <w:t xml:space="preserve">  - Alineación CR/IR/AR con ENS</w:t>
      </w:r>
      <w:r/>
      <w:r>
        <w:br/>
        <w:t xml:space="preserve">  - Traducción de controles en métricas Modified</w:t>
      </w:r>
      <w:r/>
      <w:r>
        <w:br/>
        <w:t xml:space="preserve">  - Documentación vector CVSS-BE</w:t>
      </w:r>
      <w:r/>
      <w:r>
        <w:br/>
        <w:t xml:space="preserve">  - Revisión periódica ante cambios de entorno</w:t>
      </w:r>
      <w:r/>
      <w:r>
        <w:br/>
        <w:t>- Insight crítico (caja roja):</w:t>
      </w:r>
      <w:r/>
      <w:r>
        <w:br/>
      </w:r>
      <w:r>
        <w:rPr>
          <w:i/>
        </w:rPr>
        <w:t>"[X%] no dispone del inventario de activos necesario para calcular métricas Environmental"</w:t>
      </w:r>
    </w:p>
    <w:p>
      <w:pPr>
        <w:pStyle w:val="Heading3"/>
        <w:keepNext/>
        <w:keepLines/>
      </w:pPr>
      <w:r>
        <w:t>DIAPOSITIVA 13 — HALLAZGO CLAVE 6: MÉTRICAS SUPPLEMENTAL</w:t>
      </w:r>
    </w:p>
    <w:p>
      <w:r>
        <w:rPr>
          <w:b/>
        </w:rPr>
        <w:t>Elementos:</w:t>
      </w:r>
      <w:r/>
      <w:r>
        <w:br/>
        <w:t xml:space="preserve">- Título: </w:t>
      </w:r>
      <w:r>
        <w:rPr>
          <w:rFonts w:ascii="Courier New" w:hAnsi="Courier New"/>
          <w:sz w:val="18"/>
        </w:rPr>
        <w:t>"Safety y Automatability: las nuevas dimensiones que el sector no conoce aún"</w:t>
      </w:r>
      <w:r/>
      <w:r>
        <w:br/>
        <w:t>- Tabla de conocimiento por métrica:</w:t>
      </w:r>
      <w:r/>
      <w:r>
        <w:br/>
        <w:t xml:space="preserve">  | Métrica | % que la conoce | % que la usa |</w:t>
      </w:r>
      <w:r/>
      <w:r>
        <w:br/>
        <w:t xml:space="preserve">  |---|---|---|</w:t>
      </w:r>
      <w:r/>
      <w:r>
        <w:br/>
        <w:t xml:space="preserve">  | Safety | X% | Y% |</w:t>
      </w:r>
      <w:r/>
      <w:r>
        <w:br/>
        <w:t xml:space="preserve">  | Automatability | X% | Y% |</w:t>
      </w:r>
      <w:r/>
      <w:r>
        <w:br/>
        <w:t xml:space="preserve">  | Recovery | X% | Y% |</w:t>
      </w:r>
      <w:r/>
      <w:r>
        <w:br/>
        <w:t xml:space="preserve">  | Value Density | X% | Y% |</w:t>
      </w:r>
      <w:r/>
      <w:r>
        <w:br/>
        <w:t>- Alerta especial para sector sanitario y OT: % que usa Safety en dispositivos médicos</w:t>
      </w:r>
    </w:p>
    <w:p>
      <w:pPr>
        <w:pStyle w:val="Heading3"/>
        <w:keepNext/>
        <w:keepLines/>
      </w:pPr>
      <w:r>
        <w:t>DIAPOSITIVA 14 — HALLAZGO CLAVE 7: INFRAESTRUCTURA</w:t>
      </w:r>
    </w:p>
    <w:p>
      <w:r>
        <w:rPr>
          <w:b/>
        </w:rPr>
        <w:t>Elementos:</w:t>
      </w:r>
      <w:r/>
      <w:r>
        <w:br/>
        <w:t xml:space="preserve">- Título: </w:t>
      </w:r>
      <w:r>
        <w:rPr>
          <w:rFonts w:ascii="Courier New" w:hAnsi="Courier New"/>
          <w:sz w:val="18"/>
        </w:rPr>
        <w:t>"Las herramientas: el cuello de botella que nadie quiere admitir"</w:t>
      </w:r>
      <w:r/>
      <w:r>
        <w:br/>
        <w:t>- Gráfico de barras horizontal: Herramientas usadas (% de organizaciones)</w:t>
      </w:r>
      <w:r/>
      <w:r>
        <w:br/>
        <w:t>- KPI: % herramientas con soporte nativo CVSS 4.0</w:t>
      </w:r>
      <w:r/>
      <w:r>
        <w:br/>
        <w:t>- Timeline promedio CVE → Score: distribución por segmento (cajas bigote)</w:t>
      </w:r>
      <w:r/>
      <w:r>
        <w:br/>
        <w:t>- Dato: % que usa IA/LLM para scoring automático</w:t>
      </w:r>
    </w:p>
    <w:p>
      <w:pPr>
        <w:pStyle w:val="Heading3"/>
        <w:keepNext/>
        <w:keepLines/>
      </w:pPr>
      <w:r>
        <w:t>DIAPOSITIVA 15 — HALLAZGO CLAVE 8: GOBIERNO Y CULTURA</w:t>
      </w:r>
    </w:p>
    <w:p>
      <w:r>
        <w:rPr>
          <w:b/>
        </w:rPr>
        <w:t>Elementos:</w:t>
      </w:r>
      <w:r/>
      <w:r>
        <w:br/>
        <w:t xml:space="preserve">- Título: </w:t>
      </w:r>
      <w:r>
        <w:rPr>
          <w:rFonts w:ascii="Courier New" w:hAnsi="Courier New"/>
          <w:sz w:val="18"/>
        </w:rPr>
        <w:t>"Sin gobernanza, la metodología es decoración"</w:t>
      </w:r>
      <w:r/>
      <w:r>
        <w:br/>
        <w:t>- Semáforo de 6 dimensiones de gobierno:</w:t>
      </w:r>
      <w:r/>
      <w:r>
        <w:br/>
        <w:t xml:space="preserve">  - Política VMP formal: 🔴/🟡/🟢</w:t>
      </w:r>
      <w:r/>
      <w:r>
        <w:br/>
        <w:t xml:space="preserve">  - SLAs por severidad CVSS: 🔴/🟡/🟢</w:t>
      </w:r>
      <w:r/>
      <w:r>
        <w:br/>
        <w:t xml:space="preserve">  - KPIs a dirección: 🔴/🟡/🟢</w:t>
      </w:r>
      <w:r/>
      <w:r>
        <w:br/>
        <w:t xml:space="preserve">  - Formación CVSS 4.0: 🔴/🟡/🟢</w:t>
      </w:r>
      <w:r/>
      <w:r>
        <w:br/>
        <w:t xml:space="preserve">  - Cadena de suministro: 🔴/🟡/🟢</w:t>
      </w:r>
      <w:r/>
      <w:r>
        <w:br/>
        <w:t xml:space="preserve">  - Tabletop con CVSS: 🔴/🟡/🟢</w:t>
      </w:r>
      <w:r/>
      <w:r>
        <w:br/>
        <w:t>- Principal obstáculo organizacional (resultados P9.5): podio top 3</w:t>
      </w:r>
    </w:p>
    <w:p>
      <w:pPr>
        <w:pStyle w:val="Heading3"/>
        <w:keepNext/>
        <w:keepLines/>
      </w:pPr>
      <w:r>
        <w:t>DIAPOSITIVA 16 — ANÁLISIS CUALITATIVO: VOCES DEL CAMPO</w:t>
      </w:r>
    </w:p>
    <w:p>
      <w:r>
        <w:rPr>
          <w:b/>
        </w:rPr>
        <w:t>Elementos:</w:t>
      </w:r>
      <w:r/>
      <w:r>
        <w:br/>
        <w:t xml:space="preserve">- Título: </w:t>
      </w:r>
      <w:r>
        <w:rPr>
          <w:rFonts w:ascii="Courier New" w:hAnsi="Courier New"/>
          <w:sz w:val="18"/>
        </w:rPr>
        <w:t>"Lo que dijeron los que saben (y los que se atrevieron a ser honestos)"</w:t>
      </w:r>
      <w:r/>
      <w:r>
        <w:br/>
        <w:t>- 4 citas destacadas (anónimas) de las preguntas abiertas:</w:t>
      </w:r>
      <w:r/>
      <w:r>
        <w:br/>
        <w:t xml:space="preserve">  - Mejor respuesta P3.5 (disfunción métricas Base)</w:t>
      </w:r>
      <w:r/>
      <w:r>
        <w:br/>
        <w:t xml:space="preserve">  - Mejor respuesta P6.5 (escenario real Supplemental)</w:t>
      </w:r>
      <w:r/>
      <w:r>
        <w:br/>
        <w:t xml:space="preserve">  - Mejor propuesta P10.5 (para la AP española)</w:t>
      </w:r>
      <w:r/>
      <w:r>
        <w:br/>
        <w:t xml:space="preserve">  - Mejor respuesta P10.6 (cambio deseado en CVSS)</w:t>
      </w:r>
      <w:r/>
      <w:r>
        <w:br/>
        <w:t>- Nota metodológica: análisis de contenido con [N] respuestas abiertas procesadas</w:t>
      </w:r>
    </w:p>
    <w:p>
      <w:pPr>
        <w:pStyle w:val="Heading3"/>
        <w:keepNext/>
        <w:keepLines/>
      </w:pPr>
      <w:r>
        <w:t>DIAPOSITIVAS 17–18 — ANÁLISIS POR CCAA Y SECTOR</w:t>
      </w:r>
    </w:p>
    <w:p>
      <w:r>
        <w:rPr>
          <w:b/>
        </w:rPr>
        <w:t>Diap. 17 — Mapa de madurez territorial:</w:t>
      </w:r>
      <w:r/>
      <w:r>
        <w:br/>
        <w:t>- Mapa de España con código de colores IGM por CCAA</w:t>
      </w:r>
      <w:r/>
      <w:r>
        <w:br/>
        <w:t>- Top 3 CCAA con mayor IGM / Bottom 3 con menor IGM</w:t>
      </w:r>
      <w:r/>
      <w:r>
        <w:br/>
        <w:t>- Tabla comparativa: Sector público vs. sector privado por CCAA</w:t>
      </w:r>
    </w:p>
    <w:p>
      <w:r>
        <w:rPr>
          <w:b/>
        </w:rPr>
        <w:t>Diap. 18 — Comparativa sectorial:</w:t>
      </w:r>
      <w:r/>
      <w:r>
        <w:br/>
        <w:t>- Gráfico de barras: IGM medio por sector</w:t>
      </w:r>
      <w:r/>
      <w:r>
        <w:br/>
        <w:t>- Destaque: brecha entre sector financiero (DORA) y entidades locales</w:t>
      </w:r>
      <w:r/>
      <w:r>
        <w:br/>
        <w:t>- Análisis: tamaño como variable predictora</w:t>
      </w:r>
    </w:p>
    <w:p>
      <w:pPr>
        <w:pStyle w:val="Heading3"/>
        <w:keepNext/>
        <w:keepLines/>
      </w:pPr>
      <w:r>
        <w:t>DIAPOSITIVA 19 — ÍNDICE DE MADUREZ GLOBAL: RESULTADOS</w:t>
      </w:r>
    </w:p>
    <w:p>
      <w:r>
        <w:rPr>
          <w:b/>
        </w:rPr>
        <w:t>Elementos:</w:t>
      </w:r>
      <w:r/>
      <w:r>
        <w:br/>
        <w:t xml:space="preserve">- Título: </w:t>
      </w:r>
      <w:r>
        <w:rPr>
          <w:rFonts w:ascii="Courier New" w:hAnsi="Courier New"/>
          <w:sz w:val="18"/>
        </w:rPr>
        <w:t>"El IGM: el número que resume todo lo que importa"</w:t>
      </w:r>
      <w:r/>
      <w:r>
        <w:br/>
        <w:t xml:space="preserve">- IGM GLOBAL (display grande centrado): </w:t>
      </w:r>
      <w:r>
        <w:rPr>
          <w:b/>
        </w:rPr>
        <w:t>[X.X] / 5.0</w:t>
      </w:r>
      <w:r/>
      <w:r>
        <w:br/>
        <w:t>- Gauge chart de 0 a 5 con aguja en posición actual</w:t>
      </w:r>
      <w:r/>
      <w:r>
        <w:br/>
        <w:t>- Distribución de organizaciones por nivel IGM (histograma de barras)</w:t>
      </w:r>
      <w:r/>
      <w:r>
        <w:br/>
        <w:t>- Línea de referencia: "Umbral mínimo recomendado para sector público: 3.0"</w:t>
      </w:r>
    </w:p>
    <w:p>
      <w:pPr>
        <w:pStyle w:val="Heading3"/>
        <w:keepNext/>
        <w:keepLines/>
      </w:pPr>
      <w:r>
        <w:t>DIAPOSITIVA 20 — IGM: ANÁLISIS POR DIMENSIÓN</w:t>
      </w:r>
    </w:p>
    <w:p>
      <w:r>
        <w:rPr>
          <w:b/>
        </w:rPr>
        <w:t>Elementos:</w:t>
      </w:r>
      <w:r/>
      <w:r>
        <w:br/>
        <w:t>- Radar chart de 8 dimensiones (valores medios globales)</w:t>
      </w:r>
      <w:r/>
      <w:r>
        <w:br/>
        <w:t>- Tabla de puntuaciones: Dimensión / IGM Medio / Benchmark recomendado / Gap</w:t>
      </w:r>
      <w:r/>
      <w:r>
        <w:br/>
        <w:t>- Identificación de la dimensión más débil y más fuerte</w:t>
      </w:r>
    </w:p>
    <w:p>
      <w:pPr>
        <w:pStyle w:val="Heading3"/>
        <w:keepNext/>
        <w:keepLines/>
      </w:pPr>
      <w:r>
        <w:t>DIAPOSITIVA 21 — IGM: EVOLUCIÓN Y OBJETIVOS</w:t>
      </w:r>
    </w:p>
    <w:p>
      <w:r>
        <w:rPr>
          <w:b/>
        </w:rPr>
        <w:t>Elementos:</w:t>
      </w:r>
      <w:r/>
      <w:r>
        <w:br/>
        <w:t>- Timeline de objetivos (si encuesta longitudinal):</w:t>
      </w:r>
      <w:r/>
      <w:r>
        <w:br/>
        <w:t xml:space="preserve">  - Línea base: IGM actual [X.X]</w:t>
      </w:r>
      <w:r/>
      <w:r>
        <w:br/>
        <w:t xml:space="preserve">  - Objetivo 12 meses: IGM ≥ 3.0</w:t>
      </w:r>
      <w:r/>
      <w:r>
        <w:br/>
        <w:t xml:space="preserve">  - Objetivo 24 meses: IGM ≥ 3.5 (sector público) / ≥ 4.0 (sector financiero)</w:t>
      </w:r>
      <w:r/>
      <w:r>
        <w:br/>
        <w:t>- Tabla de inversión vs. mejora IGM proyectada</w:t>
      </w:r>
    </w:p>
    <w:p>
      <w:pPr>
        <w:pStyle w:val="Heading3"/>
        <w:keepNext/>
        <w:keepLines/>
      </w:pPr>
      <w:r>
        <w:t>DIAPOSITIVA 22 — ALINEACIÓN NORMATIVA: ENS</w:t>
      </w:r>
    </w:p>
    <w:p>
      <w:r>
        <w:rPr>
          <w:b/>
        </w:rPr>
        <w:t>Elementos:</w:t>
      </w:r>
      <w:r/>
      <w:r>
        <w:br/>
        <w:t xml:space="preserve">- Título: </w:t>
      </w:r>
      <w:r>
        <w:rPr>
          <w:rFonts w:ascii="Courier New" w:hAnsi="Courier New"/>
          <w:sz w:val="18"/>
        </w:rPr>
        <w:t>"ENS y CVSS: la alineación natural que aún se construye"</w:t>
      </w:r>
      <w:r/>
      <w:r>
        <w:br/>
        <w:t>- Tabla de correspondencia ENS–CVSS (simplificada de mapeo normativo):</w:t>
      </w:r>
      <w:r/>
      <w:r>
        <w:br/>
        <w:t xml:space="preserve">  | Categoría ENS | CR/IR/AR recomendado | IGM Medio muestra |</w:t>
      </w:r>
      <w:r/>
      <w:r>
        <w:br/>
        <w:t xml:space="preserve">  |---|---|---|</w:t>
      </w:r>
      <w:r/>
      <w:r>
        <w:br/>
        <w:t xml:space="preserve">  | ALTO | High / High / High | [X.X] |</w:t>
      </w:r>
      <w:r/>
      <w:r>
        <w:br/>
        <w:t xml:space="preserve">  | MEDIO | Medium / Medium / Medium | [X.X] |</w:t>
      </w:r>
      <w:r/>
      <w:r>
        <w:br/>
        <w:t xml:space="preserve">  | BAJO | Low / Low / Low | [X.X] |</w:t>
      </w:r>
      <w:r/>
      <w:r>
        <w:br/>
        <w:t>- Brecha identificada: % con ALTO ENS que NO aplica métricas Environmental</w:t>
      </w:r>
    </w:p>
    <w:p>
      <w:pPr>
        <w:pStyle w:val="Heading3"/>
        <w:keepNext/>
        <w:keepLines/>
      </w:pPr>
      <w:r>
        <w:t>DIAPOSITIVA 23 — ALINEACIÓN NORMATIVA: NIS2, DORA, CRA</w:t>
      </w:r>
    </w:p>
    <w:p>
      <w:r>
        <w:rPr>
          <w:b/>
        </w:rPr>
        <w:t>Elementos:</w:t>
      </w:r>
      <w:r/>
      <w:r>
        <w:br/>
        <w:t>- Tres columnas:</w:t>
      </w:r>
      <w:r/>
      <w:r>
        <w:br/>
        <w:t xml:space="preserve">  - </w:t>
      </w:r>
      <w:r>
        <w:rPr>
          <w:b/>
        </w:rPr>
        <w:t>NIS2:</w:t>
      </w:r>
      <w:r>
        <w:t xml:space="preserve"> % que integra CVSS en protocolo de notificación 24h</w:t>
      </w:r>
      <w:r/>
      <w:r>
        <w:br/>
        <w:t xml:space="preserve">  - </w:t>
      </w:r>
      <w:r>
        <w:rPr>
          <w:b/>
        </w:rPr>
        <w:t>DORA:</w:t>
      </w:r>
      <w:r>
        <w:t xml:space="preserve"> % que usa CVSS como métrica principal (sector financiero)</w:t>
      </w:r>
      <w:r/>
      <w:r>
        <w:br/>
        <w:t xml:space="preserve">  - </w:t>
      </w:r>
      <w:r>
        <w:rPr>
          <w:b/>
        </w:rPr>
        <w:t>CRA:</w:t>
      </w:r>
      <w:r>
        <w:t xml:space="preserve"> % que conoce las obligaciones de septiembre 2026</w:t>
      </w:r>
      <w:r/>
      <w:r>
        <w:br/>
        <w:t>- Semáforo de preparación por marco regulatorio</w:t>
      </w:r>
    </w:p>
    <w:p>
      <w:pPr>
        <w:pStyle w:val="Heading3"/>
        <w:keepNext/>
        <w:keepLines/>
      </w:pPr>
      <w:r>
        <w:t>DIAPOSITIVA 24 — LA RED NACIONAL DE SOC</w:t>
      </w:r>
    </w:p>
    <w:p>
      <w:r>
        <w:rPr>
          <w:b/>
        </w:rPr>
        <w:t>Elementos:</w:t>
      </w:r>
      <w:r/>
      <w:r>
        <w:br/>
        <w:t>- Mapa de la Red Nacional de SOC (&gt;250 centros)</w:t>
      </w:r>
      <w:r/>
      <w:r>
        <w:br/>
        <w:t>- KPIs de uso:</w:t>
      </w:r>
      <w:r/>
      <w:r>
        <w:br/>
        <w:t xml:space="preserve">  - % organizaciones miembros de la RNS</w:t>
      </w:r>
      <w:r/>
      <w:r>
        <w:br/>
        <w:t xml:space="preserve">  - % que usa RNS como fuente de métricas Threat</w:t>
      </w:r>
      <w:r/>
      <w:r>
        <w:br/>
        <w:t xml:space="preserve">  - Valoración media de efectividad (P10.3): [X.X] / 5</w:t>
      </w:r>
    </w:p>
    <w:p>
      <w:pPr>
        <w:pStyle w:val="Heading3"/>
        <w:keepNext/>
        <w:keepLines/>
      </w:pPr>
      <w:r>
        <w:t>DIAPOSITIVA 25 — RECOMENDACIONES ESTRATÉGICAS (1/2)</w:t>
      </w:r>
    </w:p>
    <w:p>
      <w:r>
        <w:rPr>
          <w:b/>
        </w:rPr>
        <w:t>Elementos:</w:t>
      </w:r>
      <w:r/>
      <w:r>
        <w:br/>
        <w:t xml:space="preserve">- Título: </w:t>
      </w:r>
      <w:r>
        <w:rPr>
          <w:rFonts w:ascii="Courier New" w:hAnsi="Courier New"/>
          <w:sz w:val="18"/>
        </w:rPr>
        <w:t>"Diez cosas que su organización debería hacer. Las cinco primeras, ya."</w:t>
      </w:r>
      <w:r/>
      <w:r>
        <w:br/>
        <w:t>- Lista priorizada con iconos:</w:t>
      </w:r>
      <w:r/>
      <w:r>
        <w:br/>
        <w:t xml:space="preserve">  1. 🎯 Migrar a nomenclatura CVSS-BTE como estándar de comunicación</w:t>
      </w:r>
      <w:r/>
      <w:r>
        <w:br/>
        <w:t xml:space="preserve">  2. 🧠 Implementar ciclo de enriquecimiento: B → BT → BTE</w:t>
      </w:r>
      <w:r/>
      <w:r>
        <w:br/>
        <w:t xml:space="preserve">  3. 📋 Alinear CR/IR/AR con categorización ENS</w:t>
      </w:r>
      <w:r/>
      <w:r>
        <w:br/>
        <w:t xml:space="preserve">  4. 🌐 Integrar EUVD como fuente de threat intelligence europea</w:t>
      </w:r>
      <w:r/>
      <w:r>
        <w:br/>
        <w:t xml:space="preserve">  5. 🤖 Evaluar automatización con IA para scoring CVSS inicial</w:t>
      </w:r>
    </w:p>
    <w:p>
      <w:pPr>
        <w:pStyle w:val="Heading3"/>
        <w:keepNext/>
        <w:keepLines/>
      </w:pPr>
      <w:r>
        <w:t>DIAPOSITIVA 26 — RECOMENDACIONES ESTRATÉGICAS (2/2)</w:t>
      </w:r>
    </w:p>
    <w:p>
      <w:r>
        <w:rPr>
          <w:b/>
        </w:rPr>
        <w:t>Elementos:</w:t>
      </w:r>
      <w:r/>
      <w:r>
        <w:br/>
        <w:t>- Lista priorizada (continuación):</w:t>
      </w:r>
      <w:r/>
      <w:r>
        <w:br/>
        <w:t xml:space="preserve">  6. 📊 Actualizar CMDB para habilitar análisis contextual</w:t>
      </w:r>
      <w:r/>
      <w:r>
        <w:br/>
        <w:t xml:space="preserve">  7. 🎓 Formar al 80%+ del equipo de seguridad en CVSS 4.0</w:t>
      </w:r>
      <w:r/>
      <w:r>
        <w:br/>
        <w:t xml:space="preserve">  8. ⚠️ Preparar protocolo de notificación NIS2/CRA con CVSS integrado</w:t>
      </w:r>
      <w:r/>
      <w:r>
        <w:br/>
        <w:t xml:space="preserve">  9. 🏭 Desarrollar perfil OT/Safety para infraestructuras con impacto físico</w:t>
      </w:r>
      <w:r/>
      <w:r>
        <w:br/>
        <w:t xml:space="preserve">  10. 🔁 Establecer SLAs de remediación diferenciados por puntuación CVSS-BTE</w:t>
      </w:r>
    </w:p>
    <w:p>
      <w:pPr>
        <w:pStyle w:val="Heading3"/>
        <w:keepNext/>
        <w:keepLines/>
      </w:pPr>
      <w:r>
        <w:t>DIAPOSITIVA 27 — HOJA DE RUTA: 2026–2028</w:t>
      </w:r>
    </w:p>
    <w:p>
      <w:r>
        <w:rPr>
          <w:b/>
        </w:rPr>
        <w:t>Elementos:</w:t>
      </w:r>
      <w:r/>
      <w:r>
        <w:br/>
        <w:t>- Timeline en 3 horizontes:</w:t>
      </w:r>
      <w:r/>
      <w:r>
        <w:br/>
        <w:t xml:space="preserve">  - </w:t>
      </w:r>
      <w:r>
        <w:rPr>
          <w:b/>
        </w:rPr>
        <w:t>Corto plazo (2026):</w:t>
      </w:r>
      <w:r>
        <w:t xml:space="preserve"> Migración v4.0 / EUVD integración / CRA preparación</w:t>
      </w:r>
      <w:r/>
      <w:r>
        <w:br/>
        <w:t xml:space="preserve">  - </w:t>
      </w:r>
      <w:r>
        <w:rPr>
          <w:b/>
        </w:rPr>
        <w:t>Medio plazo (2027):</w:t>
      </w:r>
      <w:r>
        <w:t xml:space="preserve"> Automatización scoring IA / Perfiles sectoriales Environmental / IGM ≥ 3.5</w:t>
      </w:r>
      <w:r/>
      <w:r>
        <w:br/>
        <w:t xml:space="preserve">  - </w:t>
      </w:r>
      <w:r>
        <w:rPr>
          <w:b/>
        </w:rPr>
        <w:t>Largo plazo (2028):</w:t>
      </w:r>
      <w:r>
        <w:t xml:space="preserve"> Meta-framework CVSS+SSVC+EPSS / Convergencia OT-IT / IGM ≥ 4.0</w:t>
      </w:r>
    </w:p>
    <w:p>
      <w:pPr>
        <w:pStyle w:val="Heading3"/>
        <w:keepNext/>
        <w:keepLines/>
      </w:pPr>
      <w:r>
        <w:t>DIAPOSITIVA 28 — APÉNDICE: FICHA TÉCNICA</w:t>
      </w:r>
    </w:p>
    <w:p>
      <w:r>
        <w:rPr>
          <w:b/>
        </w:rPr>
        <w:t>Elementos:</w:t>
      </w:r>
      <w:r/>
      <w:r>
        <w:br/>
        <w:t>- Diseño: Fondo gris suave, texto oscuro, formato tabla</w:t>
      </w:r>
      <w:r/>
      <w:r>
        <w:br/>
        <w:t>- Ficha técnica completa:</w:t>
      </w:r>
      <w:r/>
      <w:r>
        <w:br/>
        <w:t xml:space="preserve">  - Universo / Marco muestral / N</w:t>
      </w:r>
      <w:r/>
      <w:r>
        <w:br/>
        <w:t xml:space="preserve">  - Error muestral / Nivel de confianza</w:t>
      </w:r>
      <w:r/>
      <w:r>
        <w:br/>
        <w:t xml:space="preserve">  - Periodo de campo</w:t>
      </w:r>
      <w:r/>
      <w:r>
        <w:br/>
        <w:t xml:space="preserve">  - Instrumento / Plataforma</w:t>
      </w:r>
      <w:r/>
      <w:r>
        <w:br/>
        <w:t xml:space="preserve">  - Equipo investigador</w:t>
      </w:r>
      <w:r/>
      <w:r>
        <w:br/>
        <w:t xml:space="preserve">  - Referencias normativas clave</w:t>
      </w:r>
      <w:r/>
      <w:r>
        <w:br/>
        <w:t xml:space="preserve">  - Contacto para más información</w:t>
      </w:r>
    </w:p>
    <w:p>
      <w:pPr>
        <w:pStyle w:val="Heading2"/>
        <w:keepNext/>
        <w:keepLines/>
      </w:pPr>
      <w:r>
        <w:rPr>
          <w:color w:val="0066CC"/>
        </w:rPr>
        <w:t>NOTAS DE PRODUCCIÓN</w:t>
      </w:r>
    </w:p>
    <w:p>
      <w:pPr>
        <w:pStyle w:val="Heading3"/>
        <w:keepNext/>
        <w:keepLines/>
      </w:pPr>
      <w:r>
        <w:t>Animaciones Recomendadas</w:t>
      </w:r>
    </w:p>
    <w:p>
      <w:pPr>
        <w:pStyle w:val="ListBullet"/>
        <w:keepLines w:val="1"/>
        <w:keepNext w:val="1"/>
        <w:widowControl w:val="1"/>
      </w:pPr>
      <w:r>
        <w:t>Aparición de KPIs: Fade-in + contador numérico animado (efecto "contador")</w:t>
      </w:r>
    </w:p>
    <w:p>
      <w:pPr>
        <w:pStyle w:val="ListBullet"/>
        <w:keepLines w:val="1"/>
        <w:keepNext w:val="1"/>
        <w:widowControl w:val="1"/>
      </w:pPr>
      <w:r>
        <w:t>Gráficos: Construcción progresiva de izquierda a derecha (barras y líneas)</w:t>
      </w:r>
    </w:p>
    <w:p>
      <w:pPr>
        <w:pStyle w:val="ListBullet"/>
        <w:keepLines w:val="1"/>
        <w:keepNext w:val="1"/>
        <w:widowControl w:val="1"/>
      </w:pPr>
      <w:r>
        <w:t>Radar charts: Dibujado en espiral desde el centro</w:t>
      </w:r>
    </w:p>
    <w:p>
      <w:pPr>
        <w:pStyle w:val="ListBullet"/>
        <w:keepLines w:val="1"/>
        <w:keepNext w:val="1"/>
        <w:widowControl w:val="1"/>
      </w:pPr>
      <w:r>
        <w:t>Timeline: Revelación sucesiva izquierda→derecha</w:t>
      </w:r>
    </w:p>
    <w:p>
      <w:pPr>
        <w:pStyle w:val="ListBullet"/>
        <w:keepLines w:val="1"/>
        <w:widowControl w:val="1"/>
      </w:pPr>
      <w:r>
        <w:t>Sin animaciones en diapositivas de datos puros (reduce legibilidad al imprimir)</w:t>
      </w:r>
    </w:p>
    <w:p>
      <w:pPr>
        <w:pStyle w:val="Heading3"/>
        <w:keepNext/>
        <w:keepLines/>
      </w:pPr>
      <w:r>
        <w:t>Versiones del Deck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Audiencia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Nº diapositivas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técnico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Ejecutiva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Consejo / Alta dirección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12 (selección)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Bajo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Directiva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CISO / CTO / Comité TIC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20 (estándar)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Medio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Técnica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Equipo de seguridad / SOC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28 (completa)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Alto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Pública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Sector / Publicación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15 (anonimizada)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Medio</w:t>
            </w:r>
          </w:p>
        </w:tc>
      </w:tr>
    </w:tbl>
    <w:p/>
    <w:p>
      <w:r>
        <w:rPr>
          <w:b/>
        </w:rPr>
        <w:t>Kit de Encuesta CVSS 4.0 · España 2025–2026 · Plantilla Reporte Ejecutivo PPT</w:t>
      </w:r>
      <w:r/>
      <w:r>
        <w:br/>
      </w:r>
      <w:r>
        <w:rPr>
          <w:b/>
        </w:rPr>
        <w:t>Versión 1.0 · Abril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