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</w:t>
      </w:r>
    </w:p>
    <w:p>
      <w:pPr>
        <w:pStyle w:val="Heading2"/>
        <w:keepNext/>
        <w:keepLines/>
      </w:pPr>
      <w:r>
        <w:rPr>
          <w:color w:val="0066CC"/>
        </w:rPr>
        <w:t>Encuesta CAASM – Gestión de la Superficie de Ataque de Activos Cibernéticos</w:t>
      </w:r>
    </w:p>
    <w:p>
      <w:pPr>
        <w:pStyle w:val="Heading2"/>
        <w:keepNext/>
        <w:keepLines/>
      </w:pPr>
      <w:r>
        <w:rPr>
          <w:color w:val="0066CC"/>
        </w:rPr>
        <w:t>1. Objetivo de la encuesta</w:t>
      </w:r>
    </w:p>
    <w:p>
      <w:r>
        <w:t xml:space="preserve">La encuesta tiene como misión medir, de forma estructurada y comparable, el grado de adopción, madurez y efectividad de capacidades de </w:t>
      </w:r>
      <w:r>
        <w:rPr>
          <w:b/>
        </w:rPr>
        <w:t>Cyber Asset Attack Surface Management (CAASM)</w:t>
      </w:r>
      <w:r>
        <w:t xml:space="preserve"> en organizaciones españolas, con referencia a:</w:t>
      </w:r>
    </w:p>
    <w:p>
      <w:pPr>
        <w:pStyle w:val="ListBullet"/>
        <w:keepLines w:val="1"/>
        <w:keepNext w:val="1"/>
        <w:widowControl w:val="1"/>
      </w:pPr>
      <w:r>
        <w:t>Tendencias internacionales en gestión de superficie de ataque y exposición.</w:t>
      </w:r>
    </w:p>
    <w:p>
      <w:pPr>
        <w:pStyle w:val="ListBullet"/>
        <w:keepLines w:val="1"/>
        <w:keepNext w:val="1"/>
        <w:widowControl w:val="1"/>
      </w:pPr>
      <w:r>
        <w:t>Marcos regulatorios europeos y nacionales (NIS2, ENS, GDPR, DORA, ISO 27001, NIST, etc.).</w:t>
      </w:r>
    </w:p>
    <w:p>
      <w:pPr>
        <w:pStyle w:val="ListBullet"/>
        <w:keepLines w:val="1"/>
        <w:widowControl w:val="1"/>
      </w:pPr>
      <w:r>
        <w:t>Prácticas emergentes de visibilidad, priorización basada en riesgo y remediación continua.</w:t>
      </w:r>
    </w:p>
    <w:p>
      <w:r>
        <w:t>El propósito no es “examinar” a las organizaciones, sino ayudarlas a situarse en un mapa de madurez y orientar decisiones de inversión, priorización y gobernanza.</w:t>
      </w:r>
    </w:p>
    <w:p>
      <w:pPr>
        <w:pStyle w:val="Heading2"/>
        <w:keepNext/>
        <w:keepLines/>
      </w:pPr>
      <w:r>
        <w:rPr>
          <w:color w:val="0066CC"/>
        </w:rPr>
        <w:t>2. Población objetivo y muestra</w:t>
      </w:r>
    </w:p>
    <w:p>
      <w:pPr>
        <w:pStyle w:val="Heading3"/>
        <w:keepNext/>
        <w:keepLines/>
      </w:pPr>
      <w:r>
        <w:t>2.1 Población objetivo</w:t>
      </w:r>
    </w:p>
    <w:p>
      <w:pPr>
        <w:pStyle w:val="ListBullet"/>
        <w:keepLines w:val="1"/>
        <w:keepNext w:val="1"/>
        <w:widowControl w:val="1"/>
      </w:pPr>
      <w:r>
        <w:t xml:space="preserve">Organizaciones de sectores esenciales y importantes definidos por NIS2 (energía, transporte, banca, sanidad, agua, administración pública, etc.).  </w:t>
      </w:r>
    </w:p>
    <w:p>
      <w:pPr>
        <w:pStyle w:val="ListBullet"/>
        <w:keepLines w:val="1"/>
        <w:keepNext w:val="1"/>
        <w:widowControl w:val="1"/>
      </w:pPr>
      <w:r>
        <w:t xml:space="preserve">Organizaciones con elevado peso digital (servicios digitales, telecomunicaciones, TIC, educación superior, investigación).  </w:t>
      </w:r>
    </w:p>
    <w:p>
      <w:pPr>
        <w:pStyle w:val="ListBullet"/>
        <w:keepLines w:val="1"/>
        <w:widowControl w:val="1"/>
      </w:pPr>
      <w:r>
        <w:t>Proveedores de servicios críticos (cloud, outsourcing, servicios de seguridad gestionada, etc.).</w:t>
      </w:r>
    </w:p>
    <w:p>
      <w:pPr>
        <w:pStyle w:val="Heading3"/>
        <w:keepNext/>
        <w:keepLines/>
      </w:pPr>
      <w:r>
        <w:t>2.2 Perfiles de respuesta</w:t>
      </w:r>
    </w:p>
    <w:p>
      <w:r>
        <w:t>Se recomienda que cada cuestionario sea respondido por:</w:t>
      </w:r>
    </w:p>
    <w:p>
      <w:pPr>
        <w:pStyle w:val="ListBullet"/>
        <w:keepLines w:val="1"/>
        <w:keepNext w:val="1"/>
        <w:widowControl w:val="1"/>
      </w:pPr>
      <w:r>
        <w:t xml:space="preserve">CISO / responsable máximo de ciberseguridad, o  </w:t>
      </w:r>
    </w:p>
    <w:p>
      <w:pPr>
        <w:pStyle w:val="ListBullet"/>
        <w:keepLines w:val="1"/>
        <w:keepNext w:val="1"/>
        <w:widowControl w:val="1"/>
      </w:pPr>
      <w:r>
        <w:t xml:space="preserve">Responsable de riesgo tecnológico / continuidad, o  </w:t>
      </w:r>
    </w:p>
    <w:p>
      <w:pPr>
        <w:pStyle w:val="ListBullet"/>
        <w:keepLines w:val="1"/>
        <w:widowControl w:val="1"/>
      </w:pPr>
      <w:r>
        <w:t>Responsable de infraestructura / operaciones con visión transversal.</w:t>
      </w:r>
    </w:p>
    <w:p>
      <w:r>
        <w:t>En organizaciones grandes, se sugiere un enfoque multinivel (respuesta corporativa + complementos por unidad de negocio o país, si procede).</w:t>
      </w:r>
    </w:p>
    <w:p>
      <w:pPr>
        <w:pStyle w:val="Heading2"/>
        <w:keepNext/>
        <w:keepLines/>
      </w:pPr>
      <w:r>
        <w:rPr>
          <w:color w:val="0066CC"/>
        </w:rPr>
        <w:t>3. Estructura de la encuesta</w:t>
      </w:r>
    </w:p>
    <w:p>
      <w:r>
        <w:t>La encuesta se estructura en siete bloques:</w:t>
      </w:r>
    </w:p>
    <w:p>
      <w:pPr>
        <w:pStyle w:val="ListNumber"/>
        <w:keepLines w:val="1"/>
        <w:keepNext w:val="1"/>
        <w:widowControl w:val="1"/>
      </w:pPr>
      <w:r>
        <w:t xml:space="preserve">Datos generales de la organización.  </w:t>
      </w:r>
    </w:p>
    <w:p>
      <w:pPr>
        <w:pStyle w:val="ListNumber"/>
        <w:keepLines w:val="1"/>
        <w:keepNext w:val="1"/>
        <w:widowControl w:val="1"/>
      </w:pPr>
      <w:r>
        <w:t xml:space="preserve">Visibilidad y cobertura de activos.  </w:t>
      </w:r>
    </w:p>
    <w:p>
      <w:pPr>
        <w:pStyle w:val="ListNumber"/>
        <w:keepLines w:val="1"/>
        <w:keepNext w:val="1"/>
        <w:widowControl w:val="1"/>
      </w:pPr>
      <w:r>
        <w:t xml:space="preserve">Higiene de seguridad y controles.  </w:t>
      </w:r>
    </w:p>
    <w:p>
      <w:pPr>
        <w:pStyle w:val="ListNumber"/>
        <w:keepLines w:val="1"/>
        <w:keepNext w:val="1"/>
        <w:widowControl w:val="1"/>
      </w:pPr>
      <w:r>
        <w:t xml:space="preserve">Exposición y riesgo material.  </w:t>
      </w:r>
    </w:p>
    <w:p>
      <w:pPr>
        <w:pStyle w:val="ListNumber"/>
        <w:keepLines w:val="1"/>
        <w:keepNext w:val="1"/>
        <w:widowControl w:val="1"/>
      </w:pPr>
      <w:r>
        <w:t xml:space="preserve">Remediación, automatización y resiliencia.  </w:t>
      </w:r>
    </w:p>
    <w:p>
      <w:pPr>
        <w:pStyle w:val="ListNumber"/>
        <w:keepLines w:val="1"/>
        <w:keepNext w:val="1"/>
        <w:widowControl w:val="1"/>
      </w:pPr>
      <w:r>
        <w:t xml:space="preserve">Cumplimiento regulatorio y reporting.  </w:t>
      </w:r>
    </w:p>
    <w:p>
      <w:pPr>
        <w:pStyle w:val="ListNumber"/>
        <w:keepLines w:val="1"/>
        <w:widowControl w:val="1"/>
      </w:pPr>
      <w:r>
        <w:t>Gobernanza, estrategia y cultura.</w:t>
      </w:r>
    </w:p>
    <w:p>
      <w:r>
        <w:t>Cada bloque combina:</w:t>
      </w:r>
    </w:p>
    <w:p>
      <w:pPr>
        <w:pStyle w:val="ListBullet"/>
        <w:keepLines w:val="1"/>
        <w:keepNext w:val="1"/>
        <w:widowControl w:val="1"/>
      </w:pPr>
      <w:r>
        <w:t xml:space="preserve">Preguntas cerradas tipo Likert (4 o más opciones, deliberadamente sin “neutral” cómodo).  </w:t>
      </w:r>
    </w:p>
    <w:p>
      <w:pPr>
        <w:pStyle w:val="ListBullet"/>
        <w:keepLines w:val="1"/>
        <w:keepNext w:val="1"/>
        <w:widowControl w:val="1"/>
      </w:pPr>
      <w:r>
        <w:t xml:space="preserve">Preguntas de selección múltiple para caracterizar capacidades y herramientas.  </w:t>
      </w:r>
    </w:p>
    <w:p>
      <w:pPr>
        <w:pStyle w:val="ListBullet"/>
        <w:keepLines w:val="1"/>
        <w:widowControl w:val="1"/>
      </w:pPr>
      <w:r>
        <w:t>Una pequeña dosis de preguntas abiertas para capturar matices y color local.</w:t>
      </w:r>
    </w:p>
    <w:p>
      <w:pPr>
        <w:pStyle w:val="Heading2"/>
        <w:keepNext/>
        <w:keepLines/>
      </w:pPr>
      <w:r>
        <w:rPr>
          <w:color w:val="0066CC"/>
        </w:rPr>
        <w:t>4. Lógica de diseño de las preguntas</w:t>
      </w:r>
    </w:p>
    <w:p>
      <w:pPr>
        <w:pStyle w:val="Heading3"/>
        <w:keepNext/>
        <w:keepLines/>
      </w:pPr>
      <w:r>
        <w:t>4.1 Sin “neutrales acogedores”</w:t>
      </w:r>
    </w:p>
    <w:p>
      <w:r>
        <w:t>Se evita la opción “ni bueno ni malo” para fomentar una toma de postura. La redacción introduce un tono ligero e irónico en algunas opciones (“esperanza como estrategia”, “fauna tecnológica inédita”) con dos objetivos:</w:t>
      </w:r>
    </w:p>
    <w:p>
      <w:pPr>
        <w:pStyle w:val="ListBullet"/>
        <w:keepLines w:val="1"/>
        <w:keepNext w:val="1"/>
        <w:widowControl w:val="1"/>
      </w:pPr>
      <w:r>
        <w:t xml:space="preserve">Invitar a una auto‑reflexión honesta sin caer en tecnicismos vacíos.  </w:t>
      </w:r>
    </w:p>
    <w:p>
      <w:pPr>
        <w:pStyle w:val="ListBullet"/>
        <w:keepLines w:val="1"/>
        <w:widowControl w:val="1"/>
      </w:pPr>
      <w:r>
        <w:t>Hacer más memorable la experiencia de respuesta, facilitando el debate posterior.</w:t>
      </w:r>
    </w:p>
    <w:p>
      <w:r>
        <w:t>La ironía, eso sí, está siempre al servicio de un propósito constructivo: ayudar a ver la distancia entre la aspiración y la realidad.</w:t>
      </w:r>
    </w:p>
    <w:p>
      <w:pPr>
        <w:pStyle w:val="Heading3"/>
        <w:keepNext/>
        <w:keepLines/>
      </w:pPr>
      <w:r>
        <w:t>4.2 Cobertura integral de dominios</w:t>
      </w:r>
    </w:p>
    <w:p>
      <w:r>
        <w:t>Las preguntas se han diseñado para cubrir:</w:t>
      </w:r>
    </w:p>
    <w:p>
      <w:pPr>
        <w:pStyle w:val="ListBullet"/>
        <w:keepLines w:val="1"/>
        <w:keepNext w:val="1"/>
        <w:widowControl w:val="1"/>
      </w:pPr>
      <w:r>
        <w:t xml:space="preserve">Activos TI tradicionales.  </w:t>
      </w:r>
    </w:p>
    <w:p>
      <w:pPr>
        <w:pStyle w:val="ListBullet"/>
        <w:keepLines w:val="1"/>
        <w:keepNext w:val="1"/>
        <w:widowControl w:val="1"/>
      </w:pPr>
      <w:r>
        <w:t xml:space="preserve">Entornos de nube (IaaS, PaaS, SaaS).  </w:t>
      </w:r>
    </w:p>
    <w:p>
      <w:pPr>
        <w:pStyle w:val="ListBullet"/>
        <w:keepLines w:val="1"/>
        <w:keepNext w:val="1"/>
        <w:widowControl w:val="1"/>
      </w:pPr>
      <w:r>
        <w:t xml:space="preserve">APIs y servicios web.  </w:t>
      </w:r>
    </w:p>
    <w:p>
      <w:pPr>
        <w:pStyle w:val="ListBullet"/>
        <w:keepLines w:val="1"/>
        <w:keepNext w:val="1"/>
        <w:widowControl w:val="1"/>
      </w:pPr>
      <w:r>
        <w:t xml:space="preserve">OT / entornos industriales (cuando apliquen).  </w:t>
      </w:r>
    </w:p>
    <w:p>
      <w:pPr>
        <w:pStyle w:val="ListBullet"/>
        <w:keepLines w:val="1"/>
        <w:keepNext w:val="1"/>
        <w:widowControl w:val="1"/>
      </w:pPr>
      <w:r>
        <w:t xml:space="preserve">Identidades, privilegios y accesos.  </w:t>
      </w:r>
    </w:p>
    <w:p>
      <w:pPr>
        <w:pStyle w:val="ListBullet"/>
        <w:keepLines w:val="1"/>
        <w:widowControl w:val="1"/>
      </w:pPr>
      <w:r>
        <w:t>Procesos, herramientas y governance.</w:t>
      </w:r>
    </w:p>
    <w:p>
      <w:r>
        <w:t xml:space="preserve">El objetivo es reflejar la </w:t>
      </w:r>
      <w:r>
        <w:rPr>
          <w:b/>
        </w:rPr>
        <w:t>superficie de ataque completa</w:t>
      </w:r>
      <w:r>
        <w:t>, no sólo servidores y endpoints.</w:t>
      </w:r>
    </w:p>
    <w:p>
      <w:pPr>
        <w:pStyle w:val="Heading3"/>
        <w:keepNext/>
        <w:keepLines/>
      </w:pPr>
      <w:r>
        <w:t>4.3 Madurez y capacidad, no sólo existencia</w:t>
      </w:r>
    </w:p>
    <w:p>
      <w:r>
        <w:t>En lugar de preguntar únicamente “¿tiene usted X?”, se explora:</w:t>
      </w:r>
    </w:p>
    <w:p>
      <w:pPr>
        <w:pStyle w:val="ListBullet"/>
        <w:keepLines w:val="1"/>
        <w:keepNext w:val="1"/>
        <w:widowControl w:val="1"/>
      </w:pPr>
      <w:r>
        <w:t xml:space="preserve">Grado de integración y automatización.  </w:t>
      </w:r>
    </w:p>
    <w:p>
      <w:pPr>
        <w:pStyle w:val="ListBullet"/>
        <w:keepLines w:val="1"/>
        <w:keepNext w:val="1"/>
        <w:widowControl w:val="1"/>
      </w:pPr>
      <w:r>
        <w:t xml:space="preserve">Frecuencia de actualización y revisión.  </w:t>
      </w:r>
    </w:p>
    <w:p>
      <w:pPr>
        <w:pStyle w:val="ListBullet"/>
        <w:keepLines w:val="1"/>
        <w:keepNext w:val="1"/>
        <w:widowControl w:val="1"/>
      </w:pPr>
      <w:r>
        <w:t xml:space="preserve">Uso real en procesos de decisión (riesgos, inversiones, cumplimiento).  </w:t>
      </w:r>
    </w:p>
    <w:p>
      <w:pPr>
        <w:pStyle w:val="ListBullet"/>
        <w:keepLines w:val="1"/>
        <w:widowControl w:val="1"/>
      </w:pPr>
      <w:r>
        <w:t>Conexión con la estrategia de Zero Trust y resiliencia.</w:t>
      </w:r>
    </w:p>
    <w:p>
      <w:r>
        <w:t>Así se distingue entre capacidades decorativas y capacidades efectivamente operativas.</w:t>
      </w:r>
    </w:p>
    <w:p>
      <w:pPr>
        <w:pStyle w:val="Heading2"/>
        <w:keepNext/>
        <w:keepLines/>
      </w:pPr>
      <w:r>
        <w:rPr>
          <w:color w:val="0066CC"/>
        </w:rPr>
        <w:t>5. Escalas de respuesta y codificación</w:t>
      </w:r>
    </w:p>
    <w:p>
      <w:r>
        <w:t>Para explotación cuantitativa, se sugiere codificar las respuestas en escalas numéricas, manteniendo el texto original como referencia.</w:t>
      </w:r>
    </w:p>
    <w:p>
      <w:pPr>
        <w:pStyle w:val="Heading3"/>
        <w:keepNext/>
        <w:keepLines/>
      </w:pPr>
      <w:r>
        <w:t>5.1 Ejemplo de codificación</w:t>
      </w:r>
    </w:p>
    <w:p>
      <w:r>
        <w:t>Para una pregunta tipo:</w:t>
      </w:r>
    </w:p>
    <w:p>
      <w:r>
        <w:t>“Tiempo medio de mitigación de exposiciones críticas”</w:t>
      </w:r>
    </w:p>
    <w:p>
      <w:pPr>
        <w:pStyle w:val="ListBullet"/>
        <w:keepLines w:val="1"/>
        <w:keepNext w:val="1"/>
        <w:widowControl w:val="1"/>
      </w:pPr>
      <w:r>
        <w:t xml:space="preserve">Menos de 7 días → 4  </w:t>
      </w:r>
    </w:p>
    <w:p>
      <w:pPr>
        <w:pStyle w:val="ListBullet"/>
        <w:keepLines w:val="1"/>
        <w:keepNext w:val="1"/>
        <w:widowControl w:val="1"/>
      </w:pPr>
      <w:r>
        <w:t xml:space="preserve">Entre 7 y 30 días → 3  </w:t>
      </w:r>
    </w:p>
    <w:p>
      <w:pPr>
        <w:pStyle w:val="ListBullet"/>
        <w:keepLines w:val="1"/>
        <w:keepNext w:val="1"/>
        <w:widowControl w:val="1"/>
      </w:pPr>
      <w:r>
        <w:t xml:space="preserve">Entre 1 y 3 meses → 2  </w:t>
      </w:r>
    </w:p>
    <w:p>
      <w:pPr>
        <w:pStyle w:val="ListBullet"/>
        <w:keepLines w:val="1"/>
        <w:widowControl w:val="1"/>
      </w:pPr>
      <w:r>
        <w:t>Más de 3 meses / indefinido → 1</w:t>
      </w:r>
    </w:p>
    <w:p>
      <w:r>
        <w:t>La escala (1–4) se interpreta como: 1 = inmadurez, 4 = buena práctica.</w:t>
      </w:r>
    </w:p>
    <w:p>
      <w:r>
        <w:t>Para opciones con tono irónico, se mantiene el valor numérico coherente con la madurez, no con la gracia de la redacción.</w:t>
      </w:r>
    </w:p>
    <w:p>
      <w:pPr>
        <w:pStyle w:val="Heading2"/>
        <w:keepNext/>
        <w:keepLines/>
      </w:pPr>
      <w:r>
        <w:rPr>
          <w:color w:val="0066CC"/>
        </w:rPr>
        <w:t>6. Indicadores derivados y agregación</w:t>
      </w:r>
    </w:p>
    <w:p>
      <w:r>
        <w:t>A partir de las respuestas pueden construirse diversos indicadores, por ejemplo:</w:t>
      </w:r>
    </w:p>
    <w:p>
      <w:pPr>
        <w:pStyle w:val="Heading3"/>
        <w:keepNext/>
        <w:keepLines/>
      </w:pPr>
      <w:r>
        <w:t>6.1 Ítems básicos</w:t>
      </w:r>
    </w:p>
    <w:p>
      <w:pPr>
        <w:pStyle w:val="ListBullet"/>
        <w:keepLines w:val="1"/>
        <w:keepNext w:val="1"/>
        <w:widowControl w:val="1"/>
      </w:pPr>
      <w:r>
        <w:t xml:space="preserve">Índice de visibilidad de activos (IVA).  </w:t>
      </w:r>
    </w:p>
    <w:p>
      <w:pPr>
        <w:pStyle w:val="ListBullet"/>
        <w:keepLines w:val="1"/>
        <w:keepNext w:val="1"/>
        <w:widowControl w:val="1"/>
      </w:pPr>
      <w:r>
        <w:t xml:space="preserve">Índice de higiene y controles (IHC).  </w:t>
      </w:r>
    </w:p>
    <w:p>
      <w:pPr>
        <w:pStyle w:val="ListBullet"/>
        <w:keepLines w:val="1"/>
        <w:keepNext w:val="1"/>
        <w:widowControl w:val="1"/>
      </w:pPr>
      <w:r>
        <w:t xml:space="preserve">Índice de exposición y priorización (IEP).  </w:t>
      </w:r>
    </w:p>
    <w:p>
      <w:pPr>
        <w:pStyle w:val="ListBullet"/>
        <w:keepLines w:val="1"/>
        <w:keepNext w:val="1"/>
        <w:widowControl w:val="1"/>
      </w:pPr>
      <w:r>
        <w:t xml:space="preserve">Índice de remediación y automatización (IRA).  </w:t>
      </w:r>
    </w:p>
    <w:p>
      <w:pPr>
        <w:pStyle w:val="ListBullet"/>
        <w:keepLines w:val="1"/>
        <w:keepNext w:val="1"/>
        <w:widowControl w:val="1"/>
      </w:pPr>
      <w:r>
        <w:t xml:space="preserve">Índice de cumplimiento y reporting (ICR).  </w:t>
      </w:r>
    </w:p>
    <w:p>
      <w:pPr>
        <w:pStyle w:val="ListBullet"/>
        <w:keepLines w:val="1"/>
        <w:widowControl w:val="1"/>
      </w:pPr>
      <w:r>
        <w:t>Índice de gobernanza y cultura (IGC).</w:t>
      </w:r>
    </w:p>
    <w:p>
      <w:r>
        <w:t>Cada índice se obtiene como media normalizada de las respuestas asociadas a su bloque.</w:t>
      </w:r>
    </w:p>
    <w:p>
      <w:pPr>
        <w:pStyle w:val="Heading3"/>
        <w:keepNext/>
        <w:keepLines/>
      </w:pPr>
      <w:r>
        <w:t>6.2 Índice Global de Madurez (IGM)</w:t>
      </w:r>
    </w:p>
    <w:p>
      <w:r>
        <w:t>El IGM combina los índices anteriores ponderando su relevancia. Un esquema simple podría ser:</w:t>
      </w:r>
    </w:p>
    <w:p>
      <w:pPr>
        <w:pStyle w:val="ListBullet"/>
        <w:keepLines w:val="1"/>
        <w:keepNext w:val="1"/>
        <w:widowControl w:val="1"/>
      </w:pPr>
      <w:r>
        <w:t xml:space="preserve">IVA: 20 %  </w:t>
      </w:r>
    </w:p>
    <w:p>
      <w:pPr>
        <w:pStyle w:val="ListBullet"/>
        <w:keepLines w:val="1"/>
        <w:keepNext w:val="1"/>
        <w:widowControl w:val="1"/>
      </w:pPr>
      <w:r>
        <w:t xml:space="preserve">IHC: 20 %  </w:t>
      </w:r>
    </w:p>
    <w:p>
      <w:pPr>
        <w:pStyle w:val="ListBullet"/>
        <w:keepLines w:val="1"/>
        <w:keepNext w:val="1"/>
        <w:widowControl w:val="1"/>
      </w:pPr>
      <w:r>
        <w:t xml:space="preserve">IEP: 20 %  </w:t>
      </w:r>
    </w:p>
    <w:p>
      <w:pPr>
        <w:pStyle w:val="ListBullet"/>
        <w:keepLines w:val="1"/>
        <w:keepNext w:val="1"/>
        <w:widowControl w:val="1"/>
      </w:pPr>
      <w:r>
        <w:t xml:space="preserve">IRA: 20 %  </w:t>
      </w:r>
    </w:p>
    <w:p>
      <w:pPr>
        <w:pStyle w:val="ListBullet"/>
        <w:keepLines w:val="1"/>
        <w:keepNext w:val="1"/>
        <w:widowControl w:val="1"/>
      </w:pPr>
      <w:r>
        <w:t xml:space="preserve">ICR: 10 %  </w:t>
      </w:r>
    </w:p>
    <w:p>
      <w:pPr>
        <w:pStyle w:val="ListBullet"/>
        <w:keepLines w:val="1"/>
        <w:widowControl w:val="1"/>
      </w:pPr>
      <w:r>
        <w:t>IGC: 10 %</w:t>
      </w:r>
    </w:p>
    <w:p>
      <w:r>
        <w:t>La plantilla de Excel propuesta en otro documento detalla fórmulas y pesos ajustables.</w:t>
      </w:r>
    </w:p>
    <w:p>
      <w:pPr>
        <w:pStyle w:val="Heading2"/>
        <w:keepNext/>
        <w:keepLines/>
      </w:pPr>
      <w:r>
        <w:rPr>
          <w:color w:val="0066CC"/>
        </w:rPr>
        <w:t>7. Comparabilidad y benchmarking</w:t>
      </w:r>
    </w:p>
    <w:p>
      <w:pPr>
        <w:pStyle w:val="Heading3"/>
        <w:keepNext/>
        <w:keepLines/>
      </w:pPr>
      <w:r>
        <w:t>7.1 Comparaciones internas</w:t>
      </w:r>
    </w:p>
    <w:p>
      <w:pPr>
        <w:pStyle w:val="ListBullet"/>
        <w:keepLines w:val="1"/>
        <w:keepNext w:val="1"/>
        <w:widowControl w:val="1"/>
      </w:pPr>
      <w:r>
        <w:t xml:space="preserve">Entre unidades de negocio o filiales.  </w:t>
      </w:r>
    </w:p>
    <w:p>
      <w:pPr>
        <w:pStyle w:val="ListBullet"/>
        <w:keepLines w:val="1"/>
        <w:keepNext w:val="1"/>
        <w:widowControl w:val="1"/>
      </w:pPr>
      <w:r>
        <w:t xml:space="preserve">Entre sectores dentro de la misma organización (TI vs OT, por ejemplo).  </w:t>
      </w:r>
    </w:p>
    <w:p>
      <w:pPr>
        <w:pStyle w:val="ListBullet"/>
        <w:keepLines w:val="1"/>
        <w:widowControl w:val="1"/>
      </w:pPr>
      <w:r>
        <w:t>Entre años, en encuestas repetidas (tendencia de madurez).</w:t>
      </w:r>
    </w:p>
    <w:p>
      <w:pPr>
        <w:pStyle w:val="Heading3"/>
        <w:keepNext/>
        <w:keepLines/>
      </w:pPr>
      <w:r>
        <w:t>7.2 Comparaciones externas</w:t>
      </w:r>
    </w:p>
    <w:p>
      <w:pPr>
        <w:pStyle w:val="ListBullet"/>
        <w:keepLines w:val="1"/>
        <w:keepNext w:val="1"/>
        <w:widowControl w:val="1"/>
      </w:pPr>
      <w:r>
        <w:t xml:space="preserve">Por sector (sanidad, energía, administración, etc.).  </w:t>
      </w:r>
    </w:p>
    <w:p>
      <w:pPr>
        <w:pStyle w:val="ListBullet"/>
        <w:keepLines w:val="1"/>
        <w:keepNext w:val="1"/>
        <w:widowControl w:val="1"/>
      </w:pPr>
      <w:r>
        <w:t xml:space="preserve">Por tamaño de organización.  </w:t>
      </w:r>
    </w:p>
    <w:p>
      <w:pPr>
        <w:pStyle w:val="ListBullet"/>
        <w:keepLines w:val="1"/>
        <w:widowControl w:val="1"/>
      </w:pPr>
      <w:r>
        <w:t>Por grado de exposición internacional.</w:t>
      </w:r>
    </w:p>
    <w:p>
      <w:r>
        <w:t>Es esencial anonimizar datos cuando se compartan resultados a nivel agregado, especialmente si se pretende alimentar observatorios sectoriales o nacionales.</w:t>
      </w:r>
    </w:p>
    <w:p>
      <w:pPr>
        <w:pStyle w:val="Heading2"/>
        <w:keepNext/>
        <w:keepLines/>
      </w:pPr>
      <w:r>
        <w:rPr>
          <w:color w:val="0066CC"/>
        </w:rPr>
        <w:t>8. Calidad de datos y sesgos</w:t>
      </w:r>
    </w:p>
    <w:p>
      <w:pPr>
        <w:pStyle w:val="Heading3"/>
        <w:keepNext/>
        <w:keepLines/>
      </w:pPr>
      <w:r>
        <w:t>8.1 Riesgo de optimismo tecnológico</w:t>
      </w:r>
    </w:p>
    <w:p>
      <w:r>
        <w:t>Las respuestas tienden a presentar la organización en un tono algo más favorable. Para mitigar este sesgo:</w:t>
      </w:r>
    </w:p>
    <w:p>
      <w:pPr>
        <w:pStyle w:val="ListBullet"/>
        <w:keepLines w:val="1"/>
        <w:keepNext w:val="1"/>
        <w:widowControl w:val="1"/>
      </w:pPr>
      <w:r>
        <w:t xml:space="preserve">Recomendar el contraste previo de datos internos (inventarios, tiempos de remediación, etc.).  </w:t>
      </w:r>
    </w:p>
    <w:p>
      <w:pPr>
        <w:pStyle w:val="ListBullet"/>
        <w:keepLines w:val="1"/>
        <w:keepNext w:val="1"/>
        <w:widowControl w:val="1"/>
      </w:pPr>
      <w:r>
        <w:t xml:space="preserve">Fomentar la participación de varios roles en la respuesta (CISO, operaciones, cumplimiento).  </w:t>
      </w:r>
    </w:p>
    <w:p>
      <w:pPr>
        <w:pStyle w:val="ListBullet"/>
        <w:keepLines w:val="1"/>
        <w:widowControl w:val="1"/>
      </w:pPr>
      <w:r>
        <w:t>Interpretar los resultados como “percepción informada”, no como auditoría.</w:t>
      </w:r>
    </w:p>
    <w:p>
      <w:pPr>
        <w:pStyle w:val="Heading3"/>
        <w:keepNext/>
        <w:keepLines/>
      </w:pPr>
      <w:r>
        <w:t>8.2 Coherencia entre bloques</w:t>
      </w:r>
    </w:p>
    <w:p>
      <w:r>
        <w:t>En análisis posteriores, conviene cruzar respuestas:</w:t>
      </w:r>
    </w:p>
    <w:p>
      <w:pPr>
        <w:pStyle w:val="ListBullet"/>
        <w:keepLines w:val="1"/>
        <w:keepNext w:val="1"/>
        <w:widowControl w:val="1"/>
      </w:pPr>
      <w:r>
        <w:t xml:space="preserve">Altos niveles de madurez declarados en visibilidad vs alta frecuencia de activos “sorpresa”.  </w:t>
      </w:r>
    </w:p>
    <w:p>
      <w:pPr>
        <w:pStyle w:val="ListBullet"/>
        <w:keepLines w:val="1"/>
        <w:keepNext w:val="1"/>
        <w:widowControl w:val="1"/>
      </w:pPr>
      <w:r>
        <w:t xml:space="preserve">Elevada automatización declarada vs largos tiempos medios de remediación.  </w:t>
      </w:r>
    </w:p>
    <w:p>
      <w:pPr>
        <w:pStyle w:val="ListBullet"/>
        <w:keepLines w:val="1"/>
        <w:widowControl w:val="1"/>
      </w:pPr>
      <w:r>
        <w:t>Fuerte uso de CAASM para cumplimiento vs ausencia de mapeos normativos formales.</w:t>
      </w:r>
    </w:p>
    <w:p>
      <w:r>
        <w:t>Estas incoherencias son una oportunidad para el diálogo, no un motivo de sanción.</w:t>
      </w:r>
    </w:p>
    <w:p>
      <w:pPr>
        <w:pStyle w:val="Heading2"/>
        <w:keepNext/>
        <w:keepLines/>
      </w:pPr>
      <w:r>
        <w:rPr>
          <w:color w:val="0066CC"/>
        </w:rPr>
        <w:t>9. Uso de los resultados</w:t>
      </w:r>
    </w:p>
    <w:p>
      <w:r>
        <w:t>Los resultados pueden emplearse para:</w:t>
      </w:r>
    </w:p>
    <w:p>
      <w:pPr>
        <w:pStyle w:val="ListBullet"/>
        <w:keepLines w:val="1"/>
        <w:keepNext w:val="1"/>
        <w:widowControl w:val="1"/>
      </w:pPr>
      <w:r>
        <w:t xml:space="preserve">Orientar planes de mejora (roadmaps CAASM, Zero Trust, NIS2, ENS, etc.).  </w:t>
      </w:r>
    </w:p>
    <w:p>
      <w:pPr>
        <w:pStyle w:val="ListBullet"/>
        <w:keepLines w:val="1"/>
        <w:keepNext w:val="1"/>
        <w:widowControl w:val="1"/>
      </w:pPr>
      <w:r>
        <w:t xml:space="preserve">Priorizar inversiones (herramientas, automatización, refuerzo de equipos).  </w:t>
      </w:r>
    </w:p>
    <w:p>
      <w:pPr>
        <w:pStyle w:val="ListBullet"/>
        <w:keepLines w:val="1"/>
        <w:keepNext w:val="1"/>
        <w:widowControl w:val="1"/>
      </w:pPr>
      <w:r>
        <w:t xml:space="preserve">Elaborar informes ejecutivos y dashboards de exposición.  </w:t>
      </w:r>
    </w:p>
    <w:p>
      <w:pPr>
        <w:pStyle w:val="ListBullet"/>
        <w:keepLines w:val="1"/>
        <w:widowControl w:val="1"/>
      </w:pPr>
      <w:r>
        <w:t>Apoyar estrategias sectoriales o nacionales de supervisión continua.</w:t>
      </w:r>
    </w:p>
    <w:p>
      <w:r>
        <w:t>Se recomienda acompañar la entrega de resultados con:</w:t>
      </w:r>
    </w:p>
    <w:p>
      <w:pPr>
        <w:pStyle w:val="ListBullet"/>
        <w:keepLines w:val="1"/>
        <w:keepNext w:val="1"/>
        <w:widowControl w:val="1"/>
      </w:pPr>
      <w:r>
        <w:t xml:space="preserve">Briefing ejecutivo.  </w:t>
      </w:r>
    </w:p>
    <w:p>
      <w:pPr>
        <w:pStyle w:val="ListBullet"/>
        <w:keepLines w:val="1"/>
        <w:keepNext w:val="1"/>
        <w:widowControl w:val="1"/>
      </w:pPr>
      <w:r>
        <w:t xml:space="preserve">Taller de interpretación con el equipo de seguridad.  </w:t>
      </w:r>
    </w:p>
    <w:p>
      <w:pPr>
        <w:pStyle w:val="ListBullet"/>
        <w:keepLines w:val="1"/>
        <w:widowControl w:val="1"/>
      </w:pPr>
      <w:r>
        <w:t>Propuesta de acciones priorizadas.</w:t>
      </w:r>
    </w:p>
    <w:p>
      <w:pPr>
        <w:pStyle w:val="Heading2"/>
        <w:keepNext/>
        <w:keepLines/>
      </w:pPr>
      <w:r>
        <w:rPr>
          <w:color w:val="0066CC"/>
        </w:rPr>
        <w:t>10. Frecuencia de aplicación</w:t>
      </w:r>
    </w:p>
    <w:p>
      <w:pPr>
        <w:pStyle w:val="ListBullet"/>
        <w:keepLines w:val="1"/>
        <w:keepNext w:val="1"/>
        <w:widowControl w:val="1"/>
      </w:pPr>
      <w:r>
        <w:t xml:space="preserve">Nivel organización individual: cada 12–18 meses.  </w:t>
      </w:r>
    </w:p>
    <w:p>
      <w:pPr>
        <w:pStyle w:val="ListBullet"/>
        <w:keepLines w:val="1"/>
        <w:widowControl w:val="1"/>
      </w:pPr>
      <w:r>
        <w:t>Nivel sectorial o nacional: dependerá de la capacidad y objetivos, pero se sugiere un ciclo de 2 años para medir evolución, alineado con informes de amenazas y marcos regulatorios.</w:t>
      </w:r>
    </w:p>
    <w:p>
      <w:r>
        <w:t>Fin de la guía metodológica.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