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CAASM</w:t>
      </w:r>
    </w:p>
    <w:p>
      <w:pPr>
        <w:pStyle w:val="Heading2"/>
        <w:keepNext/>
        <w:keepLines/>
      </w:pPr>
      <w:r>
        <w:rPr>
          <w:color w:val="0066CC"/>
        </w:rPr>
        <w:t>Gestión de la Superficie de Ataque de Activos Cibernéticos</w:t>
      </w:r>
    </w:p>
    <w:p>
      <w:r>
        <w:t>Objetivo: medir el grado de adopción, madurez y eficacia de capacidades CAASM en organizaciones españolas, con referencia a tendencias internacionales, marcos regulatorios (NIS2, ENS, ISO 27001, NIST, GDPR, DORA, etc.) y mejores prácticas de gestión de exposición.</w:t>
      </w:r>
    </w:p>
    <w:p>
      <w:pPr>
        <w:pStyle w:val="Heading2"/>
        <w:keepNext/>
        <w:keepLines/>
      </w:pPr>
      <w:r>
        <w:rPr>
          <w:color w:val="0066CC"/>
        </w:rPr>
        <w:t>0. Datos generales de la organización</w:t>
      </w:r>
    </w:p>
    <w:p>
      <w:pPr>
        <w:pStyle w:val="ListNumber"/>
        <w:keepLines w:val="1"/>
        <w:keepNext w:val="1"/>
        <w:widowControl w:val="1"/>
      </w:pPr>
      <w:r>
        <w:t xml:space="preserve">Sector principal de actividad  </w:t>
      </w:r>
    </w:p>
    <w:p>
      <w:pPr>
        <w:pStyle w:val="ListNumber"/>
        <w:keepLines w:val="1"/>
        <w:keepNext w:val="1"/>
        <w:widowControl w:val="1"/>
      </w:pPr>
      <w:r>
        <w:t xml:space="preserve">Administración Pública  </w:t>
      </w:r>
    </w:p>
    <w:p>
      <w:pPr>
        <w:pStyle w:val="ListNumber"/>
        <w:keepLines w:val="1"/>
        <w:keepNext w:val="1"/>
        <w:widowControl w:val="1"/>
      </w:pPr>
      <w:r>
        <w:t xml:space="preserve">Sanidad  </w:t>
      </w:r>
    </w:p>
    <w:p>
      <w:pPr>
        <w:pStyle w:val="ListNumber"/>
        <w:keepLines w:val="1"/>
        <w:keepNext w:val="1"/>
        <w:widowControl w:val="1"/>
      </w:pPr>
      <w:r>
        <w:t xml:space="preserve">Energía / Utilities  </w:t>
      </w:r>
    </w:p>
    <w:p>
      <w:pPr>
        <w:pStyle w:val="ListNumber"/>
        <w:keepLines w:val="1"/>
        <w:keepNext w:val="1"/>
        <w:widowControl w:val="1"/>
      </w:pPr>
      <w:r>
        <w:t xml:space="preserve">Servicios financieros  </w:t>
      </w:r>
    </w:p>
    <w:p>
      <w:pPr>
        <w:pStyle w:val="ListNumber"/>
        <w:keepLines w:val="1"/>
        <w:keepNext w:val="1"/>
        <w:widowControl w:val="1"/>
      </w:pPr>
      <w:r>
        <w:t xml:space="preserve">Industria / Manufactura  </w:t>
      </w:r>
    </w:p>
    <w:p>
      <w:pPr>
        <w:pStyle w:val="ListNumber"/>
        <w:keepLines w:val="1"/>
        <w:keepNext w:val="1"/>
        <w:widowControl w:val="1"/>
      </w:pPr>
      <w:r>
        <w:t xml:space="preserve">Transporte y logística  </w:t>
      </w:r>
    </w:p>
    <w:p>
      <w:pPr>
        <w:pStyle w:val="ListNumber"/>
        <w:keepLines w:val="1"/>
        <w:keepNext w:val="1"/>
        <w:widowControl w:val="1"/>
      </w:pPr>
      <w:r>
        <w:t xml:space="preserve">TIC / Servicios digitales  </w:t>
      </w:r>
    </w:p>
    <w:p>
      <w:pPr>
        <w:pStyle w:val="ListNumber"/>
        <w:keepLines w:val="1"/>
        <w:keepNext w:val="1"/>
        <w:widowControl w:val="1"/>
      </w:pPr>
      <w:r>
        <w:t xml:space="preserve">Educación / Investigación  </w:t>
      </w:r>
    </w:p>
    <w:p>
      <w:pPr>
        <w:pStyle w:val="ListNumber"/>
        <w:keepLines w:val="1"/>
        <w:keepNext w:val="1"/>
        <w:widowControl w:val="1"/>
      </w:pPr>
      <w:r>
        <w:br/>
        <w:t>Otros (especificar): __________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Tamaño de la organización (empleados)  </w:t>
        <w:br/>
      </w:r>
    </w:p>
    <w:p>
      <w:pPr>
        <w:pStyle w:val="ListNumber"/>
        <w:keepLines w:val="1"/>
        <w:keepNext w:val="1"/>
        <w:widowControl w:val="1"/>
      </w:pPr>
      <w:r>
        <w:t xml:space="preserve">Micro (≤ 10)  </w:t>
      </w:r>
    </w:p>
    <w:p>
      <w:pPr>
        <w:pStyle w:val="ListNumber"/>
        <w:keepLines w:val="1"/>
        <w:keepNext w:val="1"/>
        <w:widowControl w:val="1"/>
      </w:pPr>
      <w:r>
        <w:t xml:space="preserve">Pequeña (11–50)  </w:t>
      </w:r>
    </w:p>
    <w:p>
      <w:pPr>
        <w:pStyle w:val="ListNumber"/>
        <w:keepLines w:val="1"/>
        <w:keepNext w:val="1"/>
        <w:widowControl w:val="1"/>
      </w:pPr>
      <w:r>
        <w:t xml:space="preserve">Mediana (51–250)  </w:t>
      </w:r>
    </w:p>
    <w:p>
      <w:pPr>
        <w:pStyle w:val="ListNumber"/>
        <w:keepLines w:val="1"/>
        <w:keepNext w:val="1"/>
        <w:widowControl w:val="1"/>
      </w:pPr>
      <w:r>
        <w:t xml:space="preserve">Grande (251–1.000)  </w:t>
      </w:r>
    </w:p>
    <w:p>
      <w:pPr>
        <w:pStyle w:val="ListNumber"/>
        <w:keepLines w:val="1"/>
        <w:keepNext w:val="1"/>
        <w:widowControl w:val="1"/>
      </w:pPr>
      <w:r>
        <w:br/>
        <w:t>Muy grande (&gt; 1.000)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Rol principal de la persona que responde  </w:t>
        <w:br/>
      </w:r>
    </w:p>
    <w:p>
      <w:pPr>
        <w:pStyle w:val="ListNumber"/>
        <w:keepLines w:val="1"/>
        <w:keepNext w:val="1"/>
        <w:widowControl w:val="1"/>
      </w:pPr>
      <w:r>
        <w:t xml:space="preserve">CISO / Responsable máximo de seguridad  </w:t>
      </w:r>
    </w:p>
    <w:p>
      <w:pPr>
        <w:pStyle w:val="ListNumber"/>
        <w:keepLines w:val="1"/>
        <w:keepNext w:val="1"/>
        <w:widowControl w:val="1"/>
      </w:pPr>
      <w:r>
        <w:t xml:space="preserve">Responsable de continuidad / resiliencia  </w:t>
      </w:r>
    </w:p>
    <w:p>
      <w:pPr>
        <w:pStyle w:val="ListNumber"/>
        <w:keepLines w:val="1"/>
        <w:keepNext w:val="1"/>
        <w:widowControl w:val="1"/>
      </w:pPr>
      <w:r>
        <w:t xml:space="preserve">Responsable de infraestructura / operaciones  </w:t>
      </w:r>
    </w:p>
    <w:p>
      <w:pPr>
        <w:pStyle w:val="ListNumber"/>
        <w:keepLines w:val="1"/>
        <w:keepNext w:val="1"/>
        <w:widowControl w:val="1"/>
      </w:pPr>
      <w:r>
        <w:t xml:space="preserve">Responsable de cumplimiento / legal  </w:t>
      </w:r>
    </w:p>
    <w:p>
      <w:pPr>
        <w:pStyle w:val="ListNumber"/>
        <w:keepLines w:val="1"/>
        <w:keepNext w:val="1"/>
        <w:widowControl w:val="1"/>
      </w:pPr>
      <w:r>
        <w:t xml:space="preserve">Responsable de riesgos (ERM/ORO)  </w:t>
      </w:r>
    </w:p>
    <w:p>
      <w:pPr>
        <w:pStyle w:val="ListNumber"/>
        <w:keepLines w:val="1"/>
        <w:keepNext w:val="1"/>
        <w:widowControl w:val="1"/>
      </w:pPr>
      <w:r>
        <w:br/>
        <w:t>Otro (especificar): __________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Alcance geográfico de la organización  </w:t>
        <w:br/>
      </w:r>
    </w:p>
    <w:p>
      <w:pPr>
        <w:pStyle w:val="ListNumber"/>
        <w:keepLines w:val="1"/>
        <w:keepNext w:val="1"/>
        <w:widowControl w:val="1"/>
      </w:pPr>
      <w:r>
        <w:t xml:space="preserve">Local / regional  </w:t>
      </w:r>
    </w:p>
    <w:p>
      <w:pPr>
        <w:pStyle w:val="ListNumber"/>
        <w:keepLines w:val="1"/>
        <w:keepNext w:val="1"/>
        <w:widowControl w:val="1"/>
      </w:pPr>
      <w:r>
        <w:t xml:space="preserve">Nacional  </w:t>
      </w:r>
    </w:p>
    <w:p>
      <w:pPr>
        <w:pStyle w:val="ListNumber"/>
        <w:keepLines w:val="1"/>
        <w:keepNext w:val="1"/>
        <w:widowControl w:val="1"/>
      </w:pPr>
      <w:r>
        <w:t xml:space="preserve">Multinacional con sede en España  </w:t>
      </w:r>
    </w:p>
    <w:p>
      <w:pPr>
        <w:pStyle w:val="ListNumber"/>
        <w:keepLines w:val="1"/>
        <w:widowControl w:val="1"/>
      </w:pPr>
      <w:r>
        <w:t>Multinacional sin sede principal en España</w:t>
      </w:r>
    </w:p>
    <w:p>
      <w:r>
        <w:t xml:space="preserve">Otros (especificar): </w:t>
      </w:r>
      <w:r>
        <w:rPr>
          <w:rFonts w:ascii="Courier New" w:hAnsi="Courier New"/>
          <w:sz w:val="18"/>
        </w:rPr>
        <w:t>__________</w:t>
      </w:r>
    </w:p>
    <w:p>
      <w:r>
        <w:t xml:space="preserve">Tamaño de la organización (empleados)  </w:t>
      </w:r>
    </w:p>
    <w:p>
      <w:r>
        <w:t>Muy grande (&gt; 1.000)</w:t>
      </w:r>
    </w:p>
    <w:p>
      <w:r>
        <w:t xml:space="preserve">Rol principal de la persona que responde  </w:t>
      </w:r>
    </w:p>
    <w:p>
      <w:r>
        <w:t xml:space="preserve">Otro (especificar): </w:t>
      </w:r>
      <w:r>
        <w:rPr>
          <w:rFonts w:ascii="Courier New" w:hAnsi="Courier New"/>
          <w:sz w:val="18"/>
        </w:rPr>
        <w:t>__________</w:t>
      </w:r>
    </w:p>
    <w:p>
      <w:r>
        <w:t xml:space="preserve">Alcance geográfico de la organización  </w:t>
      </w:r>
    </w:p>
    <w:p>
      <w:pPr>
        <w:pStyle w:val="Heading2"/>
        <w:keepNext/>
        <w:keepLines/>
      </w:pPr>
      <w:r>
        <w:rPr>
          <w:color w:val="0066CC"/>
        </w:rPr>
        <w:t>1. Visibilidad y cobertura de activos</w:t>
      </w:r>
    </w:p>
    <w:p>
      <w:pPr>
        <w:pStyle w:val="Heading3"/>
        <w:keepNext/>
        <w:keepLines/>
      </w:pPr>
      <w:r>
        <w:t>1.1 Inventario y descubrimiento</w:t>
      </w:r>
    </w:p>
    <w:p>
      <w:r>
        <w:t>1.1.1. ¿Qué grado de confianza tiene en que el inventario de activos refleja la realidad viva de su superficie de ataque (TI, OT, IoT, nube, identidades, APIs)?</w:t>
      </w:r>
      <w:r/>
      <w:r>
        <w:br/>
        <w:t xml:space="preserve">   - Casi total: el inventario se alimenta automáticamente desde múltiples fuentes y se valida de forma continua.</w:t>
      </w:r>
      <w:r/>
      <w:r>
        <w:br/>
        <w:t xml:space="preserve">   - Alta: existen varias fuentes integradas, aunque persisten algunas “islas” tecnológicas.</w:t>
      </w:r>
      <w:r/>
      <w:r>
        <w:br/>
        <w:t xml:space="preserve">   - Limitada: sabemos que hay “zonas oscuras” significativas (por ejemplo, nube, OT, dispositivos remotos).</w:t>
      </w:r>
      <w:r/>
      <w:r>
        <w:br/>
        <w:t xml:space="preserve">   - Muy baja: el inventario es básicamente declarativo y ocasional, más cercano al deseo que a la topografía.</w:t>
      </w:r>
    </w:p>
    <w:p>
      <w:r>
        <w:t>1.1.2. ¿Con qué frecuencia se detectan activos “sorpresa” (no inventariados) en auditorías, pentests o escaneos externos?</w:t>
      </w:r>
      <w:r/>
      <w:r>
        <w:br/>
        <w:t xml:space="preserve">   - Rara vez (menos de una vez al año).</w:t>
      </w:r>
      <w:r/>
      <w:r>
        <w:br/>
        <w:t xml:space="preserve">   - Ocasionalmente (1–2 veces al año).</w:t>
      </w:r>
      <w:r/>
      <w:r>
        <w:br/>
        <w:t xml:space="preserve">   - Con frecuencia (trimestralmente).</w:t>
      </w:r>
      <w:r/>
      <w:r>
        <w:br/>
        <w:t xml:space="preserve">   - Sistemáticamente: cada revisión descubre fauna tecnológica inédita.</w:t>
      </w:r>
    </w:p>
    <w:p>
      <w:r>
        <w:t>1.1.3. ¿Dispone su organización de una plataforma específica de CAASM o capacidades equivalentes de descubrimiento y consolidación de activos?</w:t>
      </w:r>
      <w:r/>
      <w:r>
        <w:br/>
        <w:t xml:space="preserve">   - Sí, una plataforma CAASM dedicada en producción.</w:t>
      </w:r>
      <w:r/>
      <w:r>
        <w:br/>
        <w:t xml:space="preserve">   - Sí, capacidades CAASM integradas en otra solución (XDR, ASM, etc.).</w:t>
      </w:r>
      <w:r/>
      <w:r>
        <w:br/>
        <w:t xml:space="preserve">   - En piloto o fase de pruebas.</w:t>
      </w:r>
      <w:r/>
      <w:r>
        <w:br/>
        <w:t xml:space="preserve">   - No, pero estamos evaluando soluciones.</w:t>
      </w:r>
      <w:r/>
      <w:r>
        <w:br/>
        <w:t xml:space="preserve">   - No, ni se le espera (al menos de momento).</w:t>
      </w:r>
    </w:p>
    <w:p>
      <w:r>
        <w:t>1.1.4. Fuentes integradas en su inventario de activos (marque todas las que apliquen):</w:t>
      </w:r>
      <w:r/>
      <w:r>
        <w:br/>
        <w:t xml:space="preserve">   - CMDB / ITSM</w:t>
      </w:r>
      <w:r/>
      <w:r>
        <w:br/>
        <w:t xml:space="preserve">   - Herramientas EDR/XDR</w:t>
      </w:r>
      <w:r/>
      <w:r>
        <w:br/>
        <w:t xml:space="preserve">   - Herramientas de gestión de vulnerabilidades</w:t>
      </w:r>
      <w:r/>
      <w:r>
        <w:br/>
        <w:t xml:space="preserve">   - Plataformas de nube (IaaS/PaaS/SaaS)</w:t>
      </w:r>
      <w:r/>
      <w:r>
        <w:br/>
        <w:t xml:space="preserve">   - Directorios e IAM (AD, IdP, SSO, etc.)</w:t>
      </w:r>
      <w:r/>
      <w:r>
        <w:br/>
        <w:t xml:space="preserve">   - Sistemas OT / SCADA / DCS</w:t>
      </w:r>
      <w:r/>
      <w:r>
        <w:br/>
        <w:t xml:space="preserve">   - Inventario manual / hojas de cálculo</w:t>
      </w:r>
      <w:r/>
      <w:r>
        <w:br/>
        <w:t xml:space="preserve">   - Otros (especificar): </w:t>
      </w:r>
      <w:r>
        <w:rPr>
          <w:rFonts w:ascii="Courier New" w:hAnsi="Courier New"/>
          <w:sz w:val="18"/>
        </w:rPr>
        <w:t>__________</w:t>
      </w:r>
    </w:p>
    <w:p>
      <w:pPr>
        <w:pStyle w:val="Heading3"/>
        <w:keepNext/>
        <w:keepLines/>
      </w:pPr>
      <w:r>
        <w:t>1.2 Cobertura por dominios</w:t>
      </w:r>
    </w:p>
    <w:p>
      <w:r>
        <w:t>1.2.1. ¿Cómo calificaría la visibilidad de activos TI tradicionales (servidores, PCs, portátiles, dispositivos de red)?</w:t>
      </w:r>
      <w:r/>
      <w:r>
        <w:br/>
        <w:t xml:space="preserve">   - Completa y actualizada de forma continua.</w:t>
      </w:r>
      <w:r/>
      <w:r>
        <w:br/>
        <w:t xml:space="preserve">   - Buena, con alguna laguna puntual.</w:t>
      </w:r>
      <w:r/>
      <w:r>
        <w:br/>
        <w:t xml:space="preserve">   - Parcial, con áreas opacas conocidas.</w:t>
      </w:r>
      <w:r/>
      <w:r>
        <w:br/>
        <w:t xml:space="preserve">   - Fragmentaria, con dependencia de inventarios manuales.</w:t>
      </w:r>
    </w:p>
    <w:p>
      <w:r>
        <w:t>1.2.2. ¿Y la visibilidad de activos en nube (IaaS/PaaS/SaaS)?</w:t>
      </w:r>
      <w:r/>
      <w:r>
        <w:br/>
        <w:t xml:space="preserve">   - Completa, integrada en el inventario central mediante CAASM o similar.</w:t>
      </w:r>
      <w:r/>
      <w:r>
        <w:br/>
        <w:t xml:space="preserve">   - Buena, aunque existen cuentas o suscripciones poco controladas.</w:t>
      </w:r>
      <w:r/>
      <w:r>
        <w:br/>
        <w:t xml:space="preserve">   - Limitada a entornos principales; el resto vive en el limbo de la experimentación.</w:t>
      </w:r>
      <w:r/>
      <w:r>
        <w:br/>
        <w:t xml:space="preserve">   - Muy limitada: apenas hay inventario sistemático de recursos en nube.</w:t>
      </w:r>
    </w:p>
    <w:p>
      <w:r>
        <w:t>1.2.3. ¿Visibilidad sobre APIs y servicios expuestos (internos y externos)?</w:t>
      </w:r>
      <w:r/>
      <w:r>
        <w:br/>
        <w:t xml:space="preserve">   - Tenemos un catálogo actualizado y supervisado.</w:t>
      </w:r>
      <w:r/>
      <w:r>
        <w:br/>
        <w:t xml:space="preserve">   - Existe un catálogo parcial, con APIs “históricas” poco controladas.</w:t>
      </w:r>
      <w:r/>
      <w:r>
        <w:br/>
        <w:t xml:space="preserve">   - Nos guiamos por la memoria colectiva y el registro de incidencias.</w:t>
      </w:r>
      <w:r/>
      <w:r>
        <w:br/>
        <w:t xml:space="preserve">   - Las APIs son criaturas mitológicas: sabemos que existen, pero no tenemos censo.</w:t>
      </w:r>
    </w:p>
    <w:p>
      <w:r>
        <w:t>1.2.4. En cuanto a OT / entornos industriales (si aplican):</w:t>
      </w:r>
      <w:r/>
      <w:r>
        <w:br/>
        <w:t xml:space="preserve">   - Inventario detallado y actualizado, integrado con IT.</w:t>
      </w:r>
      <w:r/>
      <w:r>
        <w:br/>
        <w:t xml:space="preserve">   - Inventario razonable pero con esfuerzo manual elevado.</w:t>
      </w:r>
      <w:r/>
      <w:r>
        <w:br/>
        <w:t xml:space="preserve">   - Inventario parcial, centrado en activos más críticos.</w:t>
      </w:r>
      <w:r/>
      <w:r>
        <w:br/>
        <w:t xml:space="preserve">   - No existe un inventario formal de OT (o no aplica).</w:t>
      </w:r>
    </w:p>
    <w:p>
      <w:pPr>
        <w:pStyle w:val="Heading2"/>
        <w:keepNext/>
        <w:keepLines/>
      </w:pPr>
      <w:r>
        <w:rPr>
          <w:color w:val="0066CC"/>
        </w:rPr>
        <w:t>2. Higiene de seguridad y controles</w:t>
      </w:r>
    </w:p>
    <w:p>
      <w:pPr>
        <w:pStyle w:val="Heading3"/>
        <w:keepNext/>
        <w:keepLines/>
      </w:pPr>
      <w:r>
        <w:t>2.1 Controles mínimos por activo</w:t>
      </w:r>
    </w:p>
    <w:p>
      <w:r>
        <w:t xml:space="preserve">2.1.1. ¿Qué porcentaje aproximado de sus activos </w:t>
      </w:r>
      <w:r>
        <w:rPr>
          <w:b/>
        </w:rPr>
        <w:t>críticos</w:t>
      </w:r>
      <w:r>
        <w:t xml:space="preserve"> cuenta con todos los controles exigidos (EDR/XDR, parches al día, cifrado cuando aplica, MFA, segmentación adecuada)?</w:t>
      </w:r>
      <w:r/>
      <w:r>
        <w:br/>
        <w:t xml:space="preserve">   - ≥ 90 % (lo que falta tiene fecha de jubilación o plan de mitigación claro).</w:t>
      </w:r>
      <w:r/>
      <w:r>
        <w:br/>
        <w:t xml:space="preserve">   - 70–89 % (las brechas están identificadas y priorizadas).</w:t>
      </w:r>
      <w:r/>
      <w:r>
        <w:br/>
        <w:t xml:space="preserve">   - 40–69 % (sabemos qué falta, pero la realidad operativa y presupuestaria manda).</w:t>
      </w:r>
      <w:r/>
      <w:r>
        <w:br/>
        <w:t xml:space="preserve">   - &lt; 40 % (nuestra principal estrategia defensiva es la esperanza).</w:t>
      </w:r>
    </w:p>
    <w:p>
      <w:r>
        <w:t>2.1.2. ¿Cómo verifica la organización la presencia real de dichos controles en los activos?</w:t>
      </w:r>
      <w:r/>
      <w:r>
        <w:br/>
        <w:t xml:space="preserve">   - Mediante CAASM u otras herramientas que validan automáticamente la existencia y estado de controles.</w:t>
      </w:r>
      <w:r/>
      <w:r>
        <w:br/>
        <w:t xml:space="preserve">   - Mediante correlación manual entre distintas herramientas (inventario, EDR, parcheo, etc.).</w:t>
      </w:r>
      <w:r/>
      <w:r>
        <w:br/>
        <w:t xml:space="preserve">   - Principalmente a través de auditorías periódicas y muestreos.</w:t>
      </w:r>
      <w:r/>
      <w:r>
        <w:br/>
        <w:t xml:space="preserve">   - Confiamos en que, si nadie se queja, los controles siguen ahí.</w:t>
      </w:r>
    </w:p>
    <w:p>
      <w:r>
        <w:t>2.1.3. ¿Qué grado de alineamiento existe entre la criticidad de un activo (según negocio) y el nivel de controles aplicados?</w:t>
      </w:r>
      <w:r/>
      <w:r>
        <w:br/>
        <w:t xml:space="preserve">   - Elevado: la protección se ajusta de forma coherente a la criticidad.</w:t>
      </w:r>
      <w:r/>
      <w:r>
        <w:br/>
        <w:t xml:space="preserve">   - Aceptable: hay algunos activos sobreprotegidos o infraprotegidos.</w:t>
      </w:r>
      <w:r/>
      <w:r>
        <w:br/>
        <w:t xml:space="preserve">   - Bajo: la distribución de controles es más histórica que basada en riesgo.</w:t>
      </w:r>
      <w:r/>
      <w:r>
        <w:br/>
        <w:t xml:space="preserve">   - Desconocido: no existe una clasificación formal de criticidad de activos.</w:t>
      </w:r>
    </w:p>
    <w:p>
      <w:pPr>
        <w:pStyle w:val="Heading3"/>
        <w:keepNext/>
        <w:keepLines/>
      </w:pPr>
      <w:r>
        <w:t>2.2 Zero Trust y gestión de identidades</w:t>
      </w:r>
    </w:p>
    <w:p>
      <w:r>
        <w:t>2.2.1. Respecto a la adopción de un modelo Zero Trust apoyado en visibilidad de activos e identidades:</w:t>
      </w:r>
      <w:r/>
      <w:r>
        <w:br/>
        <w:t xml:space="preserve">   - Modelo avanzado: políticas dinámicas basadas en identidad, contexto y postura de dispositivo.</w:t>
      </w:r>
      <w:r/>
      <w:r>
        <w:br/>
        <w:t xml:space="preserve">   - Despliegue en curso: pilotos activos en múltiples dominios (nube, VPN, OT sensible, etc.).</w:t>
      </w:r>
      <w:r/>
      <w:r>
        <w:br/>
        <w:t xml:space="preserve">   - En planificación: existe una estrategia documentada pero con despliegue limitado.</w:t>
      </w:r>
      <w:r/>
      <w:r>
        <w:br/>
        <w:t xml:space="preserve">   - En contemplación filosófica: aparece en presentaciones, pero no en la topología de red.</w:t>
      </w:r>
    </w:p>
    <w:p>
      <w:r>
        <w:t>2.2.2. ¿Qué grado de visibilidad tiene sobre identidades privilegiadas y sus activos asociados (servidores, aplicaciones, entornos cloud)?</w:t>
      </w:r>
      <w:r/>
      <w:r>
        <w:br/>
        <w:t xml:space="preserve">   - Alta: existe trazabilidad sistemática y correlación con CAASM/ASM.</w:t>
      </w:r>
      <w:r/>
      <w:r>
        <w:br/>
        <w:t xml:space="preserve">   - Media: se dispone de listados razonablemente actualizados.</w:t>
      </w:r>
      <w:r/>
      <w:r>
        <w:br/>
        <w:t xml:space="preserve">   - Baja: la información es fragmentaria, distribuida en diferentes equipos.</w:t>
      </w:r>
      <w:r/>
      <w:r>
        <w:br/>
        <w:t xml:space="preserve">   - Muy baja: las cuentas privilegiadas se descubren a menudo durante incidentes.</w:t>
      </w:r>
    </w:p>
    <w:p>
      <w:pPr>
        <w:pStyle w:val="Heading2"/>
        <w:keepNext/>
        <w:keepLines/>
      </w:pPr>
      <w:r>
        <w:rPr>
          <w:color w:val="0066CC"/>
        </w:rPr>
        <w:t>3. Exposición y riesgo material</w:t>
      </w:r>
    </w:p>
    <w:p>
      <w:pPr>
        <w:pStyle w:val="Heading3"/>
        <w:keepNext/>
        <w:keepLines/>
      </w:pPr>
      <w:r>
        <w:t>3.1 Exposición externa e interna</w:t>
      </w:r>
    </w:p>
    <w:p>
      <w:r>
        <w:t>3.1.1. ¿Dispone de una visión consolidada de todos los servicios expuestos a Internet (propios y de terceros críticos)?</w:t>
      </w:r>
      <w:r/>
      <w:r>
        <w:br/>
        <w:t xml:space="preserve">   - Sí, mediante CAASM/ASM integrados en el inventario.</w:t>
      </w:r>
      <w:r/>
      <w:r>
        <w:br/>
        <w:t xml:space="preserve">   - Parcialmente: sólo para dominios y rangos principales.</w:t>
      </w:r>
      <w:r/>
      <w:r>
        <w:br/>
        <w:t xml:space="preserve">   - Limitada: se actualiza periódicamente, pero no de forma continua.</w:t>
      </w:r>
      <w:r/>
      <w:r>
        <w:br/>
        <w:t xml:space="preserve">   - Prácticamente inexistente: cada pentest trae nuevas revelaciones.</w:t>
      </w:r>
    </w:p>
    <w:p>
      <w:r>
        <w:t>3.1.2. ¿Cómo caracteriza la exposición de activos OT/IoT conectados a redes corporativas o externas?</w:t>
      </w:r>
      <w:r/>
      <w:r>
        <w:br/>
        <w:t xml:space="preserve">   - Claramente identificada y segmentada con políticas estrictas.</w:t>
      </w:r>
      <w:r/>
      <w:r>
        <w:br/>
        <w:t xml:space="preserve">   - Parcialmente controlada, con excepciones por requisitos operativos.</w:t>
      </w:r>
      <w:r/>
      <w:r>
        <w:br/>
        <w:t xml:space="preserve">   - Difusa: existen conexiones de las que no se tiene un mapa completo.</w:t>
      </w:r>
      <w:r/>
      <w:r>
        <w:br/>
        <w:t xml:space="preserve">   - No aplica / no se dispone de visibilidad estructurada.</w:t>
      </w:r>
    </w:p>
    <w:p>
      <w:r>
        <w:t>3.1.3. En términos de API y servicios web expuestos, ¿qué afirmación describe mejor su situación?</w:t>
      </w:r>
      <w:r/>
      <w:r>
        <w:br/>
        <w:t xml:space="preserve">   - Todas las APIs y servicios públicos están catalogados, supervisados y sometidos a pruebas de seguridad regulares.</w:t>
      </w:r>
      <w:r/>
      <w:r>
        <w:br/>
        <w:t xml:space="preserve">   - Hay un catálogo parcial, con servicios “legados” poco revisados.</w:t>
      </w:r>
      <w:r/>
      <w:r>
        <w:br/>
        <w:t xml:space="preserve">   - Se catalogan los servicios principales; el resto vive en la periferia.</w:t>
      </w:r>
      <w:r/>
      <w:r>
        <w:br/>
        <w:t xml:space="preserve">   - El inventario de APIs crece más rápido que la documentación.</w:t>
      </w:r>
    </w:p>
    <w:p>
      <w:pPr>
        <w:pStyle w:val="Heading3"/>
        <w:keepNext/>
        <w:keepLines/>
      </w:pPr>
      <w:r>
        <w:t>3.2 Priorización de vulnerabilidades y exposiciones</w:t>
      </w:r>
    </w:p>
    <w:p>
      <w:r>
        <w:t>3.2.1. Al priorizar remediaciones, ¿qué peso real tiene la probabilidad de explotación (modelos como EPSS, inteligencia de amenazas) frente a la mera severidad técnica (CVSS)?</w:t>
      </w:r>
      <w:r/>
      <w:r>
        <w:br/>
        <w:t xml:space="preserve">   - Predomina la probabilidad de explotación y el contexto de negocio.</w:t>
      </w:r>
      <w:r/>
      <w:r>
        <w:br/>
        <w:t xml:space="preserve">   - Se combinan ambas, con prevalencia de CVSS en discusiones urgentes.</w:t>
      </w:r>
      <w:r/>
      <w:r>
        <w:br/>
        <w:t xml:space="preserve">   - La severidad técnica es el criterio de facto (CVSS como evangelio).</w:t>
      </w:r>
      <w:r/>
      <w:r>
        <w:br/>
        <w:t xml:space="preserve">   - El criterio de priorización real es “lo que se puede tocar sin romper producción”.</w:t>
      </w:r>
    </w:p>
    <w:p>
      <w:r>
        <w:t>3.2.2. ¿Utiliza su organización fuentes externas de inteligencia de amenazas para ajustar la priorización de exposiciones identificadas por CAASM/ASM?</w:t>
      </w:r>
      <w:r/>
      <w:r>
        <w:br/>
        <w:t xml:space="preserve">   - Sí, de forma sistemática y automatizada.</w:t>
      </w:r>
      <w:r/>
      <w:r>
        <w:br/>
        <w:t xml:space="preserve">   - Sí, pero principalmente para casos de alto impacto mediático.</w:t>
      </w:r>
      <w:r/>
      <w:r>
        <w:br/>
        <w:t xml:space="preserve">   - Ocasionalmente, según disponibilidad del equipo.</w:t>
      </w:r>
      <w:r/>
      <w:r>
        <w:br/>
        <w:t xml:space="preserve">   - No, el mundo exterior nos visita solo vía noticias de brechas ajenas.</w:t>
      </w:r>
    </w:p>
    <w:p>
      <w:r>
        <w:t>3.2.3. ¿Con qué frecuencia se revisan las reglas y modelos de priorización (por ejemplo, ponderación por criticidad de negocio, probabilidad de explotación, exposición externa)?</w:t>
      </w:r>
      <w:r/>
      <w:r>
        <w:br/>
        <w:t xml:space="preserve">   - Al menos trimestralmente.</w:t>
      </w:r>
      <w:r/>
      <w:r>
        <w:br/>
        <w:t xml:space="preserve">   - Una o dos veces al año.</w:t>
      </w:r>
      <w:r/>
      <w:r>
        <w:br/>
        <w:t xml:space="preserve">   - De forma ad hoc, tras incidentes significativos.</w:t>
      </w:r>
      <w:r/>
      <w:r>
        <w:br/>
        <w:t xml:space="preserve">   - No se revisan de forma formal; sobreviven las reglas históricas.</w:t>
      </w:r>
    </w:p>
    <w:p>
      <w:pPr>
        <w:pStyle w:val="Heading2"/>
        <w:keepNext/>
        <w:keepLines/>
      </w:pPr>
      <w:r>
        <w:rPr>
          <w:color w:val="0066CC"/>
        </w:rPr>
        <w:t>4. Remediación, automatización y resiliencia</w:t>
      </w:r>
    </w:p>
    <w:p>
      <w:pPr>
        <w:pStyle w:val="Heading3"/>
        <w:keepNext/>
        <w:keepLines/>
      </w:pPr>
      <w:r>
        <w:t>4.1 Tiempos de remediación</w:t>
      </w:r>
    </w:p>
    <w:p>
      <w:r>
        <w:t xml:space="preserve">4.1.1. Tiempo medio de mitigación de exposiciones </w:t>
      </w:r>
      <w:r>
        <w:rPr>
          <w:b/>
        </w:rPr>
        <w:t>críticas</w:t>
      </w:r>
      <w:r>
        <w:t xml:space="preserve"> (no solo parcheo, sino cierre efectivo de la ventana de ataque):</w:t>
      </w:r>
      <w:r/>
      <w:r>
        <w:br/>
        <w:t xml:space="preserve">   - Menos de 7 días.</w:t>
      </w:r>
      <w:r/>
      <w:r>
        <w:br/>
        <w:t xml:space="preserve">   - Entre 7 y 30 días.</w:t>
      </w:r>
      <w:r/>
      <w:r>
        <w:br/>
        <w:t xml:space="preserve">   - Entre 1 y 3 meses.</w:t>
      </w:r>
      <w:r/>
      <w:r>
        <w:br/>
        <w:t xml:space="preserve">   - Más de 3 meses (o indefinido).</w:t>
      </w:r>
    </w:p>
    <w:p>
      <w:r>
        <w:t xml:space="preserve">4.1.2. Tiempo medio de mitigación de exposiciones </w:t>
      </w:r>
      <w:r>
        <w:rPr>
          <w:b/>
        </w:rPr>
        <w:t>altas</w:t>
      </w:r>
      <w:r>
        <w:t>:</w:t>
      </w:r>
      <w:r/>
      <w:r>
        <w:br/>
        <w:t xml:space="preserve">   - Menos de 30 días.</w:t>
      </w:r>
      <w:r/>
      <w:r>
        <w:br/>
        <w:t xml:space="preserve">   - Entre 30 y 90 días.</w:t>
      </w:r>
      <w:r/>
      <w:r>
        <w:br/>
        <w:t xml:space="preserve">   - Entre 3 y 6 meses.</w:t>
      </w:r>
      <w:r/>
      <w:r>
        <w:br/>
        <w:t xml:space="preserve">   - Más de 6 meses / no definido.</w:t>
      </w:r>
    </w:p>
    <w:p>
      <w:r>
        <w:t>4.1.3. ¿Qué porcentaje aproximado de exposiciones críticas se resuelve dentro de los plazos definidos por sus SLA internos o regulatorios?</w:t>
      </w:r>
      <w:r/>
      <w:r>
        <w:br/>
        <w:t xml:space="preserve">   - ≥ 90 %</w:t>
      </w:r>
      <w:r/>
      <w:r>
        <w:br/>
        <w:t xml:space="preserve">   - 70–89 %</w:t>
      </w:r>
      <w:r/>
      <w:r>
        <w:br/>
        <w:t xml:space="preserve">   - 40–69 %</w:t>
      </w:r>
      <w:r/>
      <w:r>
        <w:br/>
        <w:t xml:space="preserve">   - &lt; 40 %</w:t>
      </w:r>
      <w:r/>
      <w:r>
        <w:br/>
        <w:t xml:space="preserve">   - No existen SLA formalmente definidos.</w:t>
      </w:r>
    </w:p>
    <w:p>
      <w:pPr>
        <w:pStyle w:val="Heading3"/>
        <w:keepNext/>
        <w:keepLines/>
      </w:pPr>
      <w:r>
        <w:t>4.2 Automatización y flujo de trabajo</w:t>
      </w:r>
    </w:p>
    <w:p>
      <w:r>
        <w:t>4.2.1. Grado de automatización en la remediación de exposiciones identificadas (parcheo, cambios de configuración, controles adicionales, etc.):</w:t>
      </w:r>
      <w:r/>
      <w:r>
        <w:br/>
        <w:t xml:space="preserve">   - Alto: uso extensivo de automatización (SOAR, playbooks, scripts integrados).</w:t>
      </w:r>
      <w:r/>
      <w:r>
        <w:br/>
        <w:t xml:space="preserve">   - Moderado: automatización para casos comunes, resto manual.</w:t>
      </w:r>
      <w:r/>
      <w:r>
        <w:br/>
        <w:t xml:space="preserve">   - Bajo: intervenciones mayoritariamente manuales y coordinadas por tickets.</w:t>
      </w:r>
      <w:r/>
      <w:r>
        <w:br/>
        <w:t xml:space="preserve">   - Nulo: la remediación es artesanal y evento a evento.</w:t>
      </w:r>
    </w:p>
    <w:p>
      <w:r>
        <w:t>4.2.2. Integración de CAASM/ASM con herramientas de ticketing/ITSM:</w:t>
      </w:r>
      <w:r/>
      <w:r>
        <w:br/>
        <w:t xml:space="preserve">   - Integración bidireccional automática (creación y actualización de tickets).</w:t>
      </w:r>
      <w:r/>
      <w:r>
        <w:br/>
        <w:t xml:space="preserve">   - Integración unidireccional (creación de tickets, seguimiento manual).</w:t>
      </w:r>
      <w:r/>
      <w:r>
        <w:br/>
        <w:t xml:space="preserve">   - Integración parcial o a través de procesos manuales.</w:t>
      </w:r>
      <w:r/>
      <w:r>
        <w:br/>
        <w:t xml:space="preserve">   - No existe integración explícita.</w:t>
      </w:r>
    </w:p>
    <w:p>
      <w:r>
        <w:t>4.2.3. ¿Con qué frecuencia se revisa la efectividad de los procesos de remediación (por ejemplo, análisis de exposiciones recurrentes, causas raíz, cuellos de botella)?</w:t>
      </w:r>
      <w:r/>
      <w:r>
        <w:br/>
        <w:t xml:space="preserve">   - Mensualmente.</w:t>
      </w:r>
      <w:r/>
      <w:r>
        <w:br/>
        <w:t xml:space="preserve">   - Trimestralmente.</w:t>
      </w:r>
      <w:r/>
      <w:r>
        <w:br/>
        <w:t xml:space="preserve">   - Anualmente.</w:t>
      </w:r>
      <w:r/>
      <w:r>
        <w:br/>
        <w:t xml:space="preserve">   - Solo tras incidentes que “duelen” especialmente.</w:t>
      </w:r>
    </w:p>
    <w:p>
      <w:pPr>
        <w:pStyle w:val="Heading2"/>
        <w:keepNext/>
        <w:keepLines/>
      </w:pPr>
      <w:r>
        <w:rPr>
          <w:color w:val="0066CC"/>
        </w:rPr>
        <w:t>5. Cumplimiento regulatorio y reporting</w:t>
      </w:r>
    </w:p>
    <w:p>
      <w:pPr>
        <w:pStyle w:val="Heading3"/>
        <w:keepNext/>
        <w:keepLines/>
      </w:pPr>
      <w:r>
        <w:t>5.1 Uso de CAASM para cumplimiento</w:t>
      </w:r>
    </w:p>
    <w:p>
      <w:r>
        <w:t>5.1.1. ¿Hasta qué punto utiliza su organización CAASM o herramientas equivalentes para obtener evidencias continuas de cumplimiento (ENS, NIS2, GDPR, ISO 27001, DORA, etc.)?</w:t>
      </w:r>
      <w:r/>
      <w:r>
        <w:br/>
        <w:t xml:space="preserve">   - Es la fuente principal de evidencias y reporting continuo.</w:t>
      </w:r>
      <w:r/>
      <w:r>
        <w:br/>
        <w:t xml:space="preserve">   - Se utiliza como complemento a auditorías y revisiones manuales.</w:t>
      </w:r>
      <w:r/>
      <w:r>
        <w:br/>
        <w:t xml:space="preserve">   - Uso parcial, centrado en algunos dominios (por ejemplo, nube o endpoints).</w:t>
      </w:r>
      <w:r/>
      <w:r>
        <w:br/>
        <w:t xml:space="preserve">   - No se utiliza CAASM para cumplimiento, sólo para gestión técnica.</w:t>
      </w:r>
    </w:p>
    <w:p>
      <w:r>
        <w:t>5.1.2. ¿Dispone de trazabilidad entre controles de seguridad implementados y requisitos de marcos normativos o estándares?</w:t>
      </w:r>
      <w:r/>
      <w:r>
        <w:br/>
        <w:t xml:space="preserve">   - Sí, existe un mapeo formal mantenido y revisado periódicamente.</w:t>
      </w:r>
      <w:r/>
      <w:r>
        <w:br/>
        <w:t xml:space="preserve">   - Sí, pero está incompleto o desactualizado.</w:t>
      </w:r>
      <w:r/>
      <w:r>
        <w:br/>
        <w:t xml:space="preserve">   - Parcial, limitado a ciertos marcos (por ejemplo, ENS o ISO).</w:t>
      </w:r>
      <w:r/>
      <w:r>
        <w:br/>
        <w:t xml:space="preserve">   - No existe un mapeo estructurado; se trabaja caso por caso.</w:t>
      </w:r>
    </w:p>
    <w:p>
      <w:r>
        <w:t>5.1.3. ¿Con qué frecuencia se generan informes ejecutivos sobre superficie de ataque y exposición de activos para la alta dirección o el consejo?</w:t>
      </w:r>
      <w:r/>
      <w:r>
        <w:br/>
        <w:t xml:space="preserve">   - Mensualmente o con mayor frecuencia.</w:t>
      </w:r>
      <w:r/>
      <w:r>
        <w:br/>
        <w:t xml:space="preserve">   - Trimestralmente.</w:t>
      </w:r>
      <w:r/>
      <w:r>
        <w:br/>
        <w:t xml:space="preserve">   - Anualmente.</w:t>
      </w:r>
      <w:r/>
      <w:r>
        <w:br/>
        <w:t xml:space="preserve">   - Solo cuando hay incidentes relevantes (o auditorías).</w:t>
      </w:r>
    </w:p>
    <w:p>
      <w:pPr>
        <w:pStyle w:val="Heading2"/>
        <w:keepNext/>
        <w:keepLines/>
      </w:pPr>
      <w:r>
        <w:rPr>
          <w:color w:val="0066CC"/>
        </w:rPr>
        <w:t>6. Gobernanza, estrategia y cultura</w:t>
      </w:r>
    </w:p>
    <w:p>
      <w:pPr>
        <w:pStyle w:val="Heading3"/>
        <w:keepNext/>
        <w:keepLines/>
      </w:pPr>
      <w:r>
        <w:t>6.1 Estrategia CAASM y risk‑based</w:t>
      </w:r>
    </w:p>
    <w:p>
      <w:r>
        <w:t>6.1.1. ¿Existe una estrategia formalizada que incluya CAASM o gestión de superficie de ataque como componente explícito?</w:t>
      </w:r>
      <w:r/>
      <w:r>
        <w:br/>
        <w:t xml:space="preserve">   - Sí, documentada y aprobada por la alta dirección.</w:t>
      </w:r>
      <w:r/>
      <w:r>
        <w:br/>
        <w:t xml:space="preserve">   - Parcial, recogida en documentos de seguridad o arquitectura.</w:t>
      </w:r>
      <w:r/>
      <w:r>
        <w:br/>
        <w:t xml:space="preserve">   - En elaboración.</w:t>
      </w:r>
      <w:r/>
      <w:r>
        <w:br/>
        <w:t xml:space="preserve">   - No, pero se tratan aspectos de forma táctica.</w:t>
      </w:r>
    </w:p>
    <w:p>
      <w:r>
        <w:t>6.1.2. ¿Cómo se integra la información de CAASM/ASM en el proceso de gestión de riesgos corporativos?</w:t>
      </w:r>
      <w:r/>
      <w:r>
        <w:br/>
        <w:t xml:space="preserve">   - Integración estructurada: la información nutre el mapa de riesgos y las decisiones de inversión.</w:t>
      </w:r>
      <w:r/>
      <w:r>
        <w:br/>
        <w:t xml:space="preserve">   - Integración moderada: influye en decisiones técnicas, pero poco en decisiones estratégicas.</w:t>
      </w:r>
      <w:r/>
      <w:r>
        <w:br/>
        <w:t xml:space="preserve">   - Integración limitada: aparece en informes, pero con impacto marginal.</w:t>
      </w:r>
      <w:r/>
      <w:r>
        <w:br/>
        <w:t xml:space="preserve">   - Prácticamente ninguna integración: son mundos paralelos.</w:t>
      </w:r>
    </w:p>
    <w:p>
      <w:pPr>
        <w:pStyle w:val="Heading3"/>
        <w:keepNext/>
        <w:keepLines/>
      </w:pPr>
      <w:r>
        <w:t>6.2 Colaboración y cadena de suministro</w:t>
      </w:r>
    </w:p>
    <w:p>
      <w:r>
        <w:t>6.2.1. ¿Comparte su organización información sobre su superficie de ataque o exposiciones relevantes con clientes, proveedores o autoridades (CSIRT nacional, sectoriales, etc.)?</w:t>
      </w:r>
      <w:r/>
      <w:r>
        <w:br/>
        <w:t xml:space="preserve">   - Sí, de manera estructurada y periódica.</w:t>
      </w:r>
      <w:r/>
      <w:r>
        <w:br/>
        <w:t xml:space="preserve">   - Sí, pero sólo en contextos específicos (incidentes, auditorías, requerimientos).</w:t>
      </w:r>
      <w:r/>
      <w:r>
        <w:br/>
        <w:t xml:space="preserve">   - Ocasionalmente, según las circunstancias.</w:t>
      </w:r>
      <w:r/>
      <w:r>
        <w:br/>
        <w:t xml:space="preserve">   - No, salvo obligación legal.</w:t>
      </w:r>
    </w:p>
    <w:p>
      <w:r>
        <w:t>6.2.2. ¿Evalúa la superficie de ataque y la higiene de seguridad de terceros críticos (proveedores, socios, servicios externalizados)?</w:t>
      </w:r>
      <w:r/>
      <w:r>
        <w:br/>
        <w:t xml:space="preserve">   - Sí, de forma continua, con métricas y revisiones periódicas.</w:t>
      </w:r>
      <w:r/>
      <w:r>
        <w:br/>
        <w:t xml:space="preserve">   - Sí, aunque principalmente en procesos de homologación o contratación.</w:t>
      </w:r>
      <w:r/>
      <w:r>
        <w:br/>
        <w:t xml:space="preserve">   - De forma puntual y reactiva.</w:t>
      </w:r>
      <w:r/>
      <w:r>
        <w:br/>
        <w:t xml:space="preserve">   - No de manera sistemática.</w:t>
      </w:r>
    </w:p>
    <w:p>
      <w:pPr>
        <w:pStyle w:val="Heading2"/>
        <w:keepNext/>
        <w:keepLines/>
      </w:pPr>
      <w:r>
        <w:rPr>
          <w:color w:val="0066CC"/>
        </w:rPr>
        <w:t>7. Perspectiva de futuro y autocrítica constructiva</w:t>
      </w:r>
    </w:p>
    <w:p>
      <w:r>
        <w:t>7.1. ¿Cuál es su principal prioridad en materia de superficie de ataque para los próximos 12–24 meses?</w:t>
      </w:r>
      <w:r/>
      <w:r>
        <w:br/>
        <w:t xml:space="preserve">   - Mejorar la visibilidad e inventario de activos (incluyendo nube, APIs, OT).</w:t>
      </w:r>
      <w:r/>
      <w:r>
        <w:br/>
        <w:t xml:space="preserve">   - Reducir la exposición externa y endurecer servicios críticos.</w:t>
      </w:r>
      <w:r/>
      <w:r>
        <w:br/>
        <w:t xml:space="preserve">   - Acelerar la remediación y automatizar más procesos.</w:t>
      </w:r>
      <w:r/>
      <w:r>
        <w:br/>
        <w:t xml:space="preserve">   - Integrar CAASM con gestión de riesgos y reporting ejecutivo.</w:t>
      </w:r>
      <w:r/>
      <w:r>
        <w:br/>
        <w:t xml:space="preserve">   - Sobrevivir a la suma de NIS2, ENS, DORA y lo que venga.</w:t>
      </w:r>
    </w:p>
    <w:p>
      <w:r>
        <w:t>7.2. Si tuviera que describir en una frase el estado actual de su gestión de la superficie de ataque, ¿cuál sería?</w:t>
      </w:r>
      <w:r/>
      <w:r>
        <w:br/>
        <w:t xml:space="preserve">   - </w:t>
      </w:r>
      <w:r>
        <w:rPr>
          <w:rFonts w:ascii="Courier New" w:hAnsi="Courier New"/>
          <w:sz w:val="18"/>
        </w:rPr>
        <w:t>Respuesta abierta</w:t>
      </w:r>
      <w:r>
        <w:t xml:space="preserve">.  </w:t>
      </w:r>
    </w:p>
    <w:p>
      <w:r>
        <w:t>7.3. Comentarios adicionales, confesiones técnicas o deseos de reforma digital:</w:t>
      </w:r>
      <w:r/>
      <w:r>
        <w:br/>
        <w:t xml:space="preserve">   - </w:t>
      </w:r>
      <w:r>
        <w:rPr>
          <w:rFonts w:ascii="Courier New" w:hAnsi="Courier New"/>
          <w:sz w:val="18"/>
        </w:rPr>
        <w:t>Respuesta abierta</w:t>
      </w:r>
      <w:r>
        <w:t xml:space="preserve">.  </w:t>
      </w:r>
    </w:p>
    <w:p>
      <w:r>
        <w:t>Fin del modelo de encuesta.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