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CAASM</w:t>
      </w:r>
    </w:p>
    <w:p>
      <w:r>
        <w:t xml:space="preserve">Esta plantilla describe la estructura recomendada de un fichero Excel para calcular el </w:t>
      </w:r>
      <w:r>
        <w:rPr>
          <w:b/>
        </w:rPr>
        <w:t>Índice Global de Madurez (IGM)</w:t>
      </w:r>
      <w:r>
        <w:t xml:space="preserve"> y estimar el </w:t>
      </w:r>
      <w:r>
        <w:rPr>
          <w:b/>
        </w:rPr>
        <w:t>ROI de iniciativas CAASM</w:t>
      </w:r>
      <w:r>
        <w:t xml:space="preserve"> a partir de los resultados de la encuesta.</w:t>
      </w:r>
    </w:p>
    <w:p>
      <w:pPr>
        <w:pStyle w:val="Heading2"/>
        <w:keepNext/>
        <w:keepLines/>
      </w:pPr>
      <w:r>
        <w:rPr>
          <w:color w:val="0066CC"/>
        </w:rPr>
        <w:t>1. Estructura general de la hoja</w:t>
      </w:r>
    </w:p>
    <w:p>
      <w:r>
        <w:t>Se recomienda un libro con al menos cuatro hojas:</w:t>
      </w:r>
    </w:p>
    <w:p>
      <w:pPr>
        <w:pStyle w:val="ListNumber"/>
        <w:keepLines w:val="1"/>
        <w:keepNext w:val="1"/>
        <w:widowControl w:val="1"/>
      </w:pPr>
      <w:r>
        <w:t xml:space="preserve">Respuestas – Codificación numérica de las respuestas de la encuesta.  </w:t>
      </w:r>
    </w:p>
    <w:p>
      <w:pPr>
        <w:pStyle w:val="ListNumber"/>
        <w:keepLines w:val="1"/>
        <w:keepNext w:val="1"/>
        <w:widowControl w:val="1"/>
      </w:pPr>
      <w:r>
        <w:t xml:space="preserve">Índices – Cálculo de índices parciales e IGM.  </w:t>
      </w:r>
    </w:p>
    <w:p>
      <w:pPr>
        <w:pStyle w:val="ListNumber"/>
        <w:keepLines w:val="1"/>
        <w:keepNext w:val="1"/>
        <w:widowControl w:val="1"/>
      </w:pPr>
      <w:r>
        <w:t xml:space="preserve">ROI – Cálculo de beneficios, costes y retorno.  </w:t>
      </w:r>
    </w:p>
    <w:p>
      <w:pPr>
        <w:pStyle w:val="ListNumber"/>
        <w:keepLines w:val="1"/>
        <w:widowControl w:val="1"/>
      </w:pPr>
      <w:r>
        <w:t>Parámetros – Pesos, umbrales y supuestos.</w:t>
      </w:r>
    </w:p>
    <w:p>
      <w:pPr>
        <w:pStyle w:val="Heading2"/>
        <w:keepNext/>
        <w:keepLines/>
      </w:pPr>
      <w:r>
        <w:rPr>
          <w:color w:val="0066CC"/>
        </w:rPr>
        <w:t>2. Hoja “Respuestas”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 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keepNext w:val="1"/>
        <w:widowControl w:val="1"/>
      </w:pPr>
      <w:r>
        <w:t xml:space="preserve">D: Rol del respondente  </w:t>
      </w:r>
    </w:p>
    <w:p>
      <w:pPr>
        <w:pStyle w:val="ListBullet"/>
        <w:keepLines w:val="1"/>
        <w:widowControl w:val="1"/>
      </w:pPr>
      <w:r>
        <w:t>E…: Pregunta_1.1.1, Pregunta_1.1.2, etc., con valores NUMÉRICOS (1–4, 1–5).</w:t>
      </w:r>
    </w:p>
    <w:p>
      <w:r>
        <w:t>Ejemplo de codificación (columna E – Pregunta 1.1.1):</w:t>
      </w:r>
    </w:p>
    <w:p>
      <w:pPr>
        <w:pStyle w:val="ListBullet"/>
        <w:keepLines w:val="1"/>
        <w:keepNext w:val="1"/>
        <w:widowControl w:val="1"/>
      </w:pPr>
      <w:r>
        <w:t xml:space="preserve">4 → Casi total  </w:t>
      </w:r>
    </w:p>
    <w:p>
      <w:pPr>
        <w:pStyle w:val="ListBullet"/>
        <w:keepLines w:val="1"/>
        <w:keepNext w:val="1"/>
        <w:widowControl w:val="1"/>
      </w:pPr>
      <w:r>
        <w:t xml:space="preserve">3 → Alta  </w:t>
      </w:r>
    </w:p>
    <w:p>
      <w:pPr>
        <w:pStyle w:val="ListBullet"/>
        <w:keepLines w:val="1"/>
        <w:keepNext w:val="1"/>
        <w:widowControl w:val="1"/>
      </w:pPr>
      <w:r>
        <w:t xml:space="preserve">2 → Limitada  </w:t>
      </w:r>
    </w:p>
    <w:p>
      <w:pPr>
        <w:pStyle w:val="ListBullet"/>
        <w:keepLines w:val="1"/>
        <w:widowControl w:val="1"/>
      </w:pPr>
      <w:r>
        <w:t>1 → Muy baja</w:t>
      </w:r>
    </w:p>
    <w:p>
      <w:r>
        <w:t xml:space="preserve">Se recomendaría añadir una fila explicando la escala, o bien documentarla en la hoja </w:t>
      </w:r>
      <w:r>
        <w:rPr>
          <w:rFonts w:ascii="Courier New" w:hAnsi="Courier New"/>
          <w:sz w:val="18"/>
        </w:rPr>
        <w:t>Parámetros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Hoja “Índices”</w:t>
      </w:r>
    </w:p>
    <w:p>
      <w:pPr>
        <w:pStyle w:val="Heading3"/>
        <w:keepNext/>
        <w:keepLines/>
      </w:pPr>
      <w:r>
        <w:t>3.1 Definición de grupos</w:t>
      </w:r>
    </w:p>
    <w:p>
      <w:r>
        <w:t xml:space="preserve">En </w:t>
      </w:r>
      <w:r>
        <w:rPr>
          <w:rFonts w:ascii="Courier New" w:hAnsi="Courier New"/>
          <w:sz w:val="18"/>
        </w:rPr>
        <w:t>Parámetros</w:t>
      </w:r>
      <w:r>
        <w:t xml:space="preserve"> (o en la parte superior de </w:t>
      </w:r>
      <w:r>
        <w:rPr>
          <w:rFonts w:ascii="Courier New" w:hAnsi="Courier New"/>
          <w:sz w:val="18"/>
        </w:rPr>
        <w:t>Índices</w:t>
      </w:r>
      <w:r>
        <w:t>) definir:</w:t>
      </w:r>
    </w:p>
    <w:p>
      <w:pPr>
        <w:pStyle w:val="ListBullet"/>
        <w:keepLines w:val="1"/>
        <w:keepNext w:val="1"/>
        <w:widowControl w:val="1"/>
      </w:pPr>
      <w:r>
        <w:t xml:space="preserve">Rango de celdas que corresponden a cada bloque:  </w:t>
      </w:r>
    </w:p>
    <w:p>
      <w:pPr>
        <w:pStyle w:val="ListBullet"/>
        <w:keepLines w:val="1"/>
        <w:keepNext w:val="1"/>
        <w:widowControl w:val="1"/>
      </w:pPr>
      <w:r>
        <w:t xml:space="preserve">Visibilidad (IVA): lista de columnas de Respuestas.  </w:t>
      </w:r>
    </w:p>
    <w:p>
      <w:pPr>
        <w:pStyle w:val="ListBullet"/>
        <w:keepLines w:val="1"/>
        <w:keepNext w:val="1"/>
        <w:widowControl w:val="1"/>
      </w:pPr>
      <w:r>
        <w:t xml:space="preserve">Higiene (IHC)  </w:t>
      </w:r>
    </w:p>
    <w:p>
      <w:pPr>
        <w:pStyle w:val="ListBullet"/>
        <w:keepLines w:val="1"/>
        <w:keepNext w:val="1"/>
        <w:widowControl w:val="1"/>
      </w:pPr>
      <w:r>
        <w:t xml:space="preserve">Exposición/priorización (IEP)  </w:t>
      </w:r>
    </w:p>
    <w:p>
      <w:pPr>
        <w:pStyle w:val="ListBullet"/>
        <w:keepLines w:val="1"/>
        <w:keepNext w:val="1"/>
        <w:widowControl w:val="1"/>
      </w:pPr>
      <w:r>
        <w:t xml:space="preserve">Remediación/automatización (IRA)  </w:t>
      </w:r>
    </w:p>
    <w:p>
      <w:pPr>
        <w:pStyle w:val="ListBullet"/>
        <w:keepLines w:val="1"/>
        <w:keepNext w:val="1"/>
        <w:widowControl w:val="1"/>
      </w:pPr>
      <w:r>
        <w:t xml:space="preserve">Cumplimiento/reporting (ICR)  </w:t>
      </w:r>
    </w:p>
    <w:p>
      <w:pPr>
        <w:pStyle w:val="ListBullet"/>
        <w:keepLines w:val="1"/>
        <w:widowControl w:val="1"/>
      </w:pPr>
      <w:r>
        <w:t>Gobernanza/cultura (IGC)</w:t>
      </w:r>
    </w:p>
    <w:p>
      <w:pPr>
        <w:pStyle w:val="Heading3"/>
        <w:keepNext/>
        <w:keepLines/>
      </w:pPr>
      <w:r>
        <w:t>3.2 Cálculo de índices parciales</w:t>
      </w:r>
    </w:p>
    <w:p>
      <w:r>
        <w:t>Para cada organización (fila):</w:t>
      </w:r>
    </w:p>
    <w:p>
      <w:pPr>
        <w:pStyle w:val="ListBullet"/>
        <w:keepLines w:val="1"/>
        <w:keepNext w:val="1"/>
        <w:widowControl w:val="1"/>
      </w:pPr>
      <w:r>
        <w:t xml:space="preserve">IVA = PROMEDIO de las respuestas codificadas de las preguntas de visibilidad.  </w:t>
      </w:r>
    </w:p>
    <w:p>
      <w:pPr>
        <w:pStyle w:val="ListBullet"/>
        <w:keepLines w:val="1"/>
        <w:keepNext w:val="1"/>
        <w:widowControl w:val="1"/>
      </w:pPr>
      <w:r>
        <w:t xml:space="preserve">IHC = PROMEDIO de las respuestas del bloque de higiene.  </w:t>
      </w:r>
    </w:p>
    <w:p>
      <w:pPr>
        <w:pStyle w:val="ListBullet"/>
        <w:keepLines w:val="1"/>
        <w:keepNext w:val="1"/>
        <w:widowControl w:val="1"/>
      </w:pPr>
      <w:r>
        <w:t xml:space="preserve">IEP = PROMEDIO del bloque exposición/priorización.  </w:t>
      </w:r>
    </w:p>
    <w:p>
      <w:pPr>
        <w:pStyle w:val="ListBullet"/>
        <w:keepLines w:val="1"/>
        <w:keepNext w:val="1"/>
        <w:widowControl w:val="1"/>
      </w:pPr>
      <w:r>
        <w:t xml:space="preserve">IRA = PROMEDIO del bloque remediación/automatización.  </w:t>
      </w:r>
    </w:p>
    <w:p>
      <w:pPr>
        <w:pStyle w:val="ListBullet"/>
        <w:keepLines w:val="1"/>
        <w:keepNext w:val="1"/>
        <w:widowControl w:val="1"/>
      </w:pPr>
      <w:r>
        <w:t xml:space="preserve">ICR = PROMEDIO del bloque cumplimiento.  </w:t>
      </w:r>
    </w:p>
    <w:p>
      <w:pPr>
        <w:pStyle w:val="ListBullet"/>
        <w:keepLines w:val="1"/>
        <w:widowControl w:val="1"/>
      </w:pPr>
      <w:r>
        <w:t>IGC = PROMEDIO del bloque gobernanza.</w:t>
      </w:r>
    </w:p>
    <w:p>
      <w:r>
        <w:t>Se puede usar:</w:t>
      </w:r>
    </w:p>
    <w:p>
      <w:pPr>
        <w:pStyle w:val="ListBullet"/>
        <w:keepLines w:val="1"/>
        <w:widowControl w:val="1"/>
      </w:pPr>
      <w:r>
        <w:t xml:space="preserve">=PROMEDIO(conjunto_de_celdas) </w:t>
      </w:r>
    </w:p>
    <w:p>
      <w:r>
        <w:t xml:space="preserve">Asegurar que celdas vacías (sin respuesta) no distorsionan el cálculo (usar </w:t>
      </w:r>
      <w:r>
        <w:rPr>
          <w:rFonts w:ascii="Courier New" w:hAnsi="Courier New"/>
          <w:sz w:val="18"/>
        </w:rPr>
        <w:t>PROMEDIO.SI</w:t>
      </w:r>
      <w:r>
        <w:t xml:space="preserve"> o mecanismos equivalentes si es necesario).</w:t>
      </w:r>
    </w:p>
    <w:p>
      <w:pPr>
        <w:pStyle w:val="Heading3"/>
        <w:keepNext/>
        <w:keepLines/>
      </w:pPr>
      <w:r>
        <w:t>3.3 Normalización (opcional)</w:t>
      </w:r>
    </w:p>
    <w:p>
      <w:r>
        <w:t>Si se emplean escalas distintas (por ejemplo, algunas preguntas a 1–4 y otras a 1–5), normalizar cada respuesta a un rango común (por ejemplo, 0–100):</w:t>
      </w:r>
    </w:p>
    <w:p>
      <w:pPr>
        <w:pStyle w:val="ListBullet"/>
        <w:keepLines w:val="1"/>
        <w:widowControl w:val="1"/>
      </w:pPr>
      <w:r>
        <w:t>Valor_normalizado = (Valor_observado – Valor_mínimo) / (Valor_máximo – Valor_mínimo) * 100</w:t>
      </w:r>
    </w:p>
    <w:p>
      <w:r>
        <w:t>Así, cada índice se expresa como porcentaje (0–100).</w:t>
      </w:r>
    </w:p>
    <w:p>
      <w:pPr>
        <w:pStyle w:val="Heading3"/>
        <w:keepNext/>
        <w:keepLines/>
      </w:pPr>
      <w:r>
        <w:t>3.4 Cálculo del IGM</w:t>
      </w:r>
    </w:p>
    <w:p>
      <w:r>
        <w:t xml:space="preserve">En </w:t>
      </w:r>
      <w:r>
        <w:rPr>
          <w:rFonts w:ascii="Courier New" w:hAnsi="Courier New"/>
          <w:sz w:val="18"/>
        </w:rPr>
        <w:t>Parámetros</w:t>
      </w:r>
      <w:r>
        <w:t>, definir pesos (por defecto):</w:t>
      </w:r>
    </w:p>
    <w:p>
      <w:pPr>
        <w:pStyle w:val="ListBullet"/>
        <w:keepLines w:val="1"/>
        <w:keepNext w:val="1"/>
        <w:widowControl w:val="1"/>
      </w:pPr>
      <w:r>
        <w:t xml:space="preserve">Peso_IVA = 0,20  </w:t>
      </w:r>
    </w:p>
    <w:p>
      <w:pPr>
        <w:pStyle w:val="ListBullet"/>
        <w:keepLines w:val="1"/>
        <w:keepNext w:val="1"/>
        <w:widowControl w:val="1"/>
      </w:pPr>
      <w:r>
        <w:t xml:space="preserve">Peso_IHC = 0,20  </w:t>
      </w:r>
    </w:p>
    <w:p>
      <w:pPr>
        <w:pStyle w:val="ListBullet"/>
        <w:keepLines w:val="1"/>
        <w:keepNext w:val="1"/>
        <w:widowControl w:val="1"/>
      </w:pPr>
      <w:r>
        <w:t xml:space="preserve">Peso_IEP = 0,20  </w:t>
      </w:r>
    </w:p>
    <w:p>
      <w:pPr>
        <w:pStyle w:val="ListBullet"/>
        <w:keepLines w:val="1"/>
        <w:keepNext w:val="1"/>
        <w:widowControl w:val="1"/>
      </w:pPr>
      <w:r>
        <w:t xml:space="preserve">Peso_IRA = 0,20  </w:t>
      </w:r>
    </w:p>
    <w:p>
      <w:pPr>
        <w:pStyle w:val="ListBullet"/>
        <w:keepLines w:val="1"/>
        <w:keepNext w:val="1"/>
        <w:widowControl w:val="1"/>
      </w:pPr>
      <w:r>
        <w:t xml:space="preserve">Peso_ICR = 0,10  </w:t>
      </w:r>
    </w:p>
    <w:p>
      <w:pPr>
        <w:pStyle w:val="ListBullet"/>
        <w:keepLines w:val="1"/>
        <w:widowControl w:val="1"/>
      </w:pPr>
      <w:r>
        <w:t>Peso_IGC = 0,10</w:t>
      </w:r>
    </w:p>
    <w:p>
      <w:r>
        <w:t>Para cada organización:</w:t>
      </w:r>
    </w:p>
    <w:p>
      <w:pPr>
        <w:pStyle w:val="ListBullet"/>
        <w:keepLines w:val="1"/>
        <w:widowControl w:val="1"/>
      </w:pPr>
      <w:r>
        <w:t>IGM = IVA * Peso_IVA + IHC * Peso_IHC + IEP * Peso_IEP + IRA * Peso_IRA + ICR * Peso_ICR + IGC * Peso_IGC</w:t>
      </w:r>
    </w:p>
    <w:p>
      <w:r>
        <w:t>Si los índices ya están normalizados a 0–100, el IGM también lo estará (0–100).</w:t>
      </w:r>
    </w:p>
    <w:p>
      <w:pPr>
        <w:pStyle w:val="Heading2"/>
        <w:keepNext/>
        <w:keepLines/>
      </w:pPr>
      <w:r>
        <w:rPr>
          <w:color w:val="0066CC"/>
        </w:rPr>
        <w:t>4. Hoja “ROI”</w:t>
      </w:r>
    </w:p>
    <w:p>
      <w:r>
        <w:t>El ROI de iniciativas CAASM es siempre una aproximación, pero puede estimarse comparando:</w:t>
      </w:r>
    </w:p>
    <w:p>
      <w:pPr>
        <w:pStyle w:val="ListBullet"/>
        <w:keepLines w:val="1"/>
        <w:keepNext w:val="1"/>
        <w:widowControl w:val="1"/>
      </w:pPr>
      <w:r>
        <w:t xml:space="preserve">Costes: licencias, servicios, personal, proyectos de integración.  </w:t>
      </w:r>
    </w:p>
    <w:p>
      <w:pPr>
        <w:pStyle w:val="ListBullet"/>
        <w:keepLines w:val="1"/>
        <w:widowControl w:val="1"/>
      </w:pPr>
      <w:r>
        <w:t>Beneficios: reducción esperada de incidentes, reducción de tiempos de remediación, menores multas/regulatorios, ahorro de esfuerzo en auditorías.</w:t>
      </w:r>
    </w:p>
    <w:p>
      <w:pPr>
        <w:pStyle w:val="Heading3"/>
        <w:keepNext/>
        <w:keepLines/>
      </w:pPr>
      <w:r>
        <w:t>4.1 Variables básicas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 Organización  </w:t>
      </w:r>
    </w:p>
    <w:p>
      <w:pPr>
        <w:pStyle w:val="ListBullet"/>
        <w:keepLines w:val="1"/>
        <w:keepNext w:val="1"/>
        <w:widowControl w:val="1"/>
      </w:pPr>
      <w:r>
        <w:t xml:space="preserve">B: Coste anual CAASM (euros)  </w:t>
      </w:r>
    </w:p>
    <w:p>
      <w:pPr>
        <w:pStyle w:val="ListBullet"/>
        <w:keepLines w:val="1"/>
        <w:keepNext w:val="1"/>
        <w:widowControl w:val="1"/>
      </w:pPr>
      <w:r>
        <w:t xml:space="preserve">C: Reducción estimada de incidentes significativos (número por año)  </w:t>
      </w:r>
    </w:p>
    <w:p>
      <w:pPr>
        <w:pStyle w:val="ListBullet"/>
        <w:keepLines w:val="1"/>
        <w:keepNext w:val="1"/>
        <w:widowControl w:val="1"/>
      </w:pPr>
      <w:r>
        <w:t xml:space="preserve">D: Coste medio de un incidente significativo (euros)  </w:t>
      </w:r>
    </w:p>
    <w:p>
      <w:pPr>
        <w:pStyle w:val="ListBullet"/>
        <w:keepLines w:val="1"/>
        <w:keepNext w:val="1"/>
        <w:widowControl w:val="1"/>
      </w:pPr>
      <w:r>
        <w:t xml:space="preserve">E: Ahorro anual por reducción de incidentes = C * D  </w:t>
      </w:r>
    </w:p>
    <w:p>
      <w:pPr>
        <w:pStyle w:val="ListBullet"/>
        <w:keepLines w:val="1"/>
        <w:keepNext w:val="1"/>
        <w:widowControl w:val="1"/>
      </w:pPr>
      <w:r>
        <w:t xml:space="preserve">F: Ahorro anual por reducción de esfuerzo en auditorías (euros)  </w:t>
      </w:r>
    </w:p>
    <w:p>
      <w:pPr>
        <w:pStyle w:val="ListBullet"/>
        <w:keepLines w:val="1"/>
        <w:keepNext w:val="1"/>
        <w:widowControl w:val="1"/>
      </w:pPr>
      <w:r>
        <w:t xml:space="preserve">G: Otras eficiencias cuantificadas (euros)  </w:t>
      </w:r>
    </w:p>
    <w:p>
      <w:pPr>
        <w:pStyle w:val="ListBullet"/>
        <w:keepLines w:val="1"/>
        <w:keepNext w:val="1"/>
        <w:widowControl w:val="1"/>
      </w:pPr>
      <w:r>
        <w:t xml:space="preserve">H: Beneficios totales anuales = E + F + G  </w:t>
      </w:r>
    </w:p>
    <w:p>
      <w:pPr>
        <w:pStyle w:val="ListBullet"/>
        <w:keepLines w:val="1"/>
        <w:widowControl w:val="1"/>
      </w:pPr>
      <w:r>
        <w:t>I: ROI simple = (H – B) / B</w:t>
      </w:r>
    </w:p>
    <w:p>
      <w:pPr>
        <w:pStyle w:val="Heading3"/>
        <w:keepNext/>
        <w:keepLines/>
      </w:pPr>
      <w:r>
        <w:t>4.2 Ejemplo de cálculo</w:t>
      </w:r>
    </w:p>
    <w:p>
      <w:r>
        <w:t>Si:</w:t>
      </w:r>
    </w:p>
    <w:p>
      <w:pPr>
        <w:pStyle w:val="ListBullet"/>
        <w:keepLines w:val="1"/>
        <w:keepNext w:val="1"/>
        <w:widowControl w:val="1"/>
      </w:pPr>
      <w:r>
        <w:t xml:space="preserve">Coste anual CAASM = 200.000 €  </w:t>
      </w:r>
    </w:p>
    <w:p>
      <w:pPr>
        <w:pStyle w:val="ListBullet"/>
        <w:keepLines w:val="1"/>
        <w:keepNext w:val="1"/>
        <w:widowControl w:val="1"/>
      </w:pPr>
      <w:r>
        <w:t xml:space="preserve">Reducción estimada de 2 incidentes/año  </w:t>
      </w:r>
    </w:p>
    <w:p>
      <w:pPr>
        <w:pStyle w:val="ListBullet"/>
        <w:keepLines w:val="1"/>
        <w:keepNext w:val="1"/>
        <w:widowControl w:val="1"/>
      </w:pPr>
      <w:r>
        <w:t xml:space="preserve">Coste medio incidente = 250.000 €  </w:t>
      </w:r>
    </w:p>
    <w:p>
      <w:pPr>
        <w:pStyle w:val="ListBullet"/>
        <w:keepLines w:val="1"/>
        <w:keepNext w:val="1"/>
        <w:widowControl w:val="1"/>
      </w:pPr>
      <w:r>
        <w:t xml:space="preserve">Ahorro en auditorías = 50.000 €  </w:t>
      </w:r>
    </w:p>
    <w:p>
      <w:pPr>
        <w:pStyle w:val="ListBullet"/>
        <w:keepLines w:val="1"/>
        <w:widowControl w:val="1"/>
      </w:pPr>
      <w:r>
        <w:t>Otras eficiencias = 0 €</w:t>
      </w:r>
    </w:p>
    <w:p>
      <w:r>
        <w:t>Entonces:</w:t>
      </w:r>
    </w:p>
    <w:p>
      <w:pPr>
        <w:pStyle w:val="ListBullet"/>
        <w:keepLines w:val="1"/>
        <w:keepNext w:val="1"/>
        <w:widowControl w:val="1"/>
      </w:pPr>
      <w:r>
        <w:t xml:space="preserve">E = 2 * 250.000 = 500.000 €  </w:t>
      </w:r>
    </w:p>
    <w:p>
      <w:pPr>
        <w:pStyle w:val="ListBullet"/>
        <w:keepLines w:val="1"/>
        <w:keepNext w:val="1"/>
        <w:widowControl w:val="1"/>
      </w:pPr>
      <w:r>
        <w:t xml:space="preserve">H = 500.000 + 50.000 = 550.000 €  </w:t>
      </w:r>
    </w:p>
    <w:p>
      <w:pPr>
        <w:pStyle w:val="ListBullet"/>
        <w:keepLines w:val="1"/>
        <w:widowControl w:val="1"/>
      </w:pPr>
      <w:r>
        <w:t>ROI = (550.000 – 200.000) / 200.000 = 1,75 (175 %)</w:t>
      </w:r>
    </w:p>
    <w:p>
      <w:pPr>
        <w:pStyle w:val="Heading2"/>
        <w:keepNext/>
        <w:keepLines/>
      </w:pPr>
      <w:r>
        <w:rPr>
          <w:color w:val="0066CC"/>
        </w:rPr>
        <w:t>5. Hoja “Parámetros”</w:t>
      </w:r>
    </w:p>
    <w:p>
      <w:r>
        <w:t>Incluir:</w:t>
      </w:r>
    </w:p>
    <w:p>
      <w:pPr>
        <w:pStyle w:val="ListBullet"/>
        <w:keepLines w:val="1"/>
        <w:keepNext w:val="1"/>
        <w:widowControl w:val="1"/>
      </w:pPr>
      <w:r>
        <w:t xml:space="preserve">Escalas de codificación para cada pregunta.  </w:t>
      </w:r>
    </w:p>
    <w:p>
      <w:pPr>
        <w:pStyle w:val="ListBullet"/>
        <w:keepLines w:val="1"/>
        <w:keepNext w:val="1"/>
        <w:widowControl w:val="1"/>
      </w:pPr>
      <w:r>
        <w:t xml:space="preserve">Pesos de cada índice en el IGM.  </w:t>
      </w:r>
    </w:p>
    <w:p>
      <w:pPr>
        <w:pStyle w:val="ListBullet"/>
        <w:keepLines w:val="1"/>
        <w:keepNext w:val="1"/>
        <w:widowControl w:val="1"/>
      </w:pPr>
      <w:r>
        <w:t xml:space="preserve">Supuestos sobre coste medio de incidentes, tiempo de dedicación liberado, etc.  </w:t>
      </w:r>
    </w:p>
    <w:p>
      <w:pPr>
        <w:pStyle w:val="ListBullet"/>
        <w:keepLines w:val="1"/>
        <w:widowControl w:val="1"/>
      </w:pPr>
      <w:r>
        <w:t>Umbrales de interpretación (por ejemplo, IGM &lt; 40 = bajo; 40–60 = medio; 60–80 = alto; &gt; 80 = muy alto).</w:t>
      </w:r>
    </w:p>
    <w:p>
      <w:pPr>
        <w:pStyle w:val="Heading2"/>
        <w:keepNext/>
        <w:keepLines/>
      </w:pPr>
      <w:r>
        <w:rPr>
          <w:color w:val="0066CC"/>
        </w:rPr>
        <w:t>6. Visualizaciones sugeridas</w:t>
      </w:r>
    </w:p>
    <w:p>
      <w:r>
        <w:t>En la misma hoja de Excel (o en una adicional):</w:t>
      </w:r>
    </w:p>
    <w:p>
      <w:pPr>
        <w:pStyle w:val="ListBullet"/>
        <w:keepLines w:val="1"/>
        <w:keepNext w:val="1"/>
        <w:widowControl w:val="1"/>
      </w:pPr>
      <w:r>
        <w:t xml:space="preserve">Gráfico radar comparando IVA, IHC, IEP, IRA, ICR, IGC.  </w:t>
      </w:r>
    </w:p>
    <w:p>
      <w:pPr>
        <w:pStyle w:val="ListBullet"/>
        <w:keepLines w:val="1"/>
        <w:keepNext w:val="1"/>
        <w:widowControl w:val="1"/>
      </w:pPr>
      <w:r>
        <w:t xml:space="preserve">Barras comparando IGM por unidad o por sector.  </w:t>
      </w:r>
    </w:p>
    <w:p>
      <w:pPr>
        <w:pStyle w:val="ListBullet"/>
        <w:keepLines w:val="1"/>
        <w:widowControl w:val="1"/>
      </w:pPr>
      <w:r>
        <w:t>Gráficos de dispersión IGM vs ROI.</w:t>
      </w:r>
    </w:p>
    <w:p>
      <w:r>
        <w:t>Fin de la plantilla descriptiva.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