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(PowerPoint) – Resultados Encuesta CAASM</w:t>
      </w:r>
    </w:p>
    <w:p>
      <w:r>
        <w:t>Descripción en Markdown para implementar la presentación en PowerPoint (o herramienta equivalente).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Informe Ejecutivo CAASM – Gestión de la Superficie de Ataque </w:t>
      </w:r>
    </w:p>
    <w:p>
      <w:pPr>
        <w:pStyle w:val="ListBullet"/>
        <w:keepLines w:val="1"/>
        <w:keepNext w:val="1"/>
        <w:widowControl w:val="1"/>
      </w:pPr>
      <w:r>
        <w:t xml:space="preserve">Subtítulo: Resultados de la encuesta de madurez  </w:t>
      </w:r>
    </w:p>
    <w:p>
      <w:pPr>
        <w:pStyle w:val="ListBullet"/>
        <w:keepLines w:val="1"/>
        <w:widowControl w:val="1"/>
      </w:pPr>
      <w:r>
        <w:t xml:space="preserve">Datos: Nombre de la organización, fecha, responsable de la presentación.  </w:t>
      </w:r>
    </w:p>
    <w:p>
      <w:pPr>
        <w:pStyle w:val="Heading2"/>
        <w:keepNext/>
        <w:keepLines/>
      </w:pPr>
      <w:r>
        <w:rPr>
          <w:color w:val="0066CC"/>
        </w:rPr>
        <w:t>Diapositiva 2 – Contexto y objetivos</w:t>
      </w:r>
    </w:p>
    <w:p>
      <w:pPr>
        <w:pStyle w:val="ListBullet"/>
        <w:keepLines w:val="1"/>
        <w:keepNext w:val="1"/>
        <w:widowControl w:val="1"/>
      </w:pPr>
      <w:r>
        <w:t xml:space="preserve">¿Por qué esta encuesta?  </w:t>
      </w:r>
    </w:p>
    <w:p>
      <w:pPr>
        <w:pStyle w:val="ListBullet"/>
        <w:keepLines w:val="1"/>
        <w:keepNext w:val="1"/>
        <w:widowControl w:val="1"/>
      </w:pPr>
      <w:r>
        <w:t xml:space="preserve">Entender el estado real de la visibilidad y exposición.  </w:t>
      </w:r>
    </w:p>
    <w:p>
      <w:pPr>
        <w:pStyle w:val="ListBullet"/>
        <w:keepLines w:val="1"/>
        <w:keepNext w:val="1"/>
        <w:widowControl w:val="1"/>
      </w:pPr>
      <w:r>
        <w:t xml:space="preserve">Medir madurez frente a buenas prácticas y marcos regulatorios.  </w:t>
      </w:r>
    </w:p>
    <w:p>
      <w:pPr>
        <w:pStyle w:val="ListBullet"/>
        <w:keepLines w:val="1"/>
        <w:keepNext w:val="1"/>
        <w:widowControl w:val="1"/>
      </w:pPr>
      <w:r>
        <w:t xml:space="preserve">Priorizar inversiones y esfuerzos de mejora.  </w:t>
      </w:r>
    </w:p>
    <w:p>
      <w:pPr>
        <w:pStyle w:val="ListBullet"/>
        <w:keepLines w:val="1"/>
        <w:widowControl w:val="1"/>
      </w:pPr>
      <w:r>
        <w:t>Mensaje clave: “No es un examen, es una radiografía”.</w:t>
      </w:r>
    </w:p>
    <w:p>
      <w:pPr>
        <w:pStyle w:val="Heading2"/>
        <w:keepNext/>
        <w:keepLines/>
      </w:pPr>
      <w:r>
        <w:rPr>
          <w:color w:val="0066CC"/>
        </w:rPr>
        <w:t>Diapositiva 3 – Metodología</w:t>
      </w:r>
    </w:p>
    <w:p>
      <w:pPr>
        <w:pStyle w:val="ListBullet"/>
        <w:keepLines w:val="1"/>
        <w:keepNext w:val="1"/>
        <w:widowControl w:val="1"/>
      </w:pPr>
      <w:r>
        <w:t xml:space="preserve">Población objetivo (sectores, tamaños).  </w:t>
      </w:r>
    </w:p>
    <w:p>
      <w:pPr>
        <w:pStyle w:val="ListBullet"/>
        <w:keepLines w:val="1"/>
        <w:keepNext w:val="1"/>
        <w:widowControl w:val="1"/>
      </w:pPr>
      <w:r>
        <w:t xml:space="preserve">Nº de organizaciones / unidades participantes.  </w:t>
      </w:r>
    </w:p>
    <w:p>
      <w:pPr>
        <w:pStyle w:val="ListBullet"/>
        <w:keepLines w:val="1"/>
        <w:keepNext w:val="1"/>
        <w:widowControl w:val="1"/>
      </w:pPr>
      <w:r>
        <w:t xml:space="preserve">Estructura de la encuesta (7 bloques, X preguntas).  </w:t>
      </w:r>
    </w:p>
    <w:p>
      <w:pPr>
        <w:pStyle w:val="ListBullet"/>
        <w:keepLines w:val="1"/>
        <w:widowControl w:val="1"/>
      </w:pPr>
      <w:r>
        <w:t xml:space="preserve">Escalas de madurez (1–4 o 0–100).  </w:t>
      </w:r>
    </w:p>
    <w:p>
      <w:pPr>
        <w:pStyle w:val="Heading2"/>
        <w:keepNext/>
        <w:keepLines/>
      </w:pPr>
      <w:r>
        <w:rPr>
          <w:color w:val="0066CC"/>
        </w:rPr>
        <w:t>Diapositiva 4 – Índice Global de Madurez (IGM)</w:t>
      </w:r>
    </w:p>
    <w:p>
      <w:pPr>
        <w:pStyle w:val="ListBullet"/>
        <w:keepLines w:val="1"/>
        <w:keepNext w:val="1"/>
        <w:widowControl w:val="1"/>
      </w:pPr>
      <w:r>
        <w:t xml:space="preserve">Gráfico: barra o velocímetro con el IGM global.  </w:t>
      </w:r>
    </w:p>
    <w:p>
      <w:pPr>
        <w:pStyle w:val="ListBullet"/>
        <w:keepLines w:val="1"/>
        <w:keepNext w:val="1"/>
        <w:widowControl w:val="1"/>
      </w:pPr>
      <w:r>
        <w:t xml:space="preserve">Rango de referencia:  </w:t>
      </w:r>
    </w:p>
    <w:p>
      <w:pPr>
        <w:pStyle w:val="ListBullet"/>
        <w:keepLines w:val="1"/>
        <w:keepNext w:val="1"/>
        <w:widowControl w:val="1"/>
      </w:pPr>
      <w:r>
        <w:t xml:space="preserve">&lt; 40: madurez baja.  </w:t>
      </w:r>
    </w:p>
    <w:p>
      <w:pPr>
        <w:pStyle w:val="ListBullet"/>
        <w:keepLines w:val="1"/>
        <w:keepNext w:val="1"/>
        <w:widowControl w:val="1"/>
      </w:pPr>
      <w:r>
        <w:t xml:space="preserve">40–60: madurez media.  </w:t>
      </w:r>
    </w:p>
    <w:p>
      <w:pPr>
        <w:pStyle w:val="ListBullet"/>
        <w:keepLines w:val="1"/>
        <w:keepNext w:val="1"/>
        <w:widowControl w:val="1"/>
      </w:pPr>
      <w:r>
        <w:t xml:space="preserve">60–80: madurez alta.  </w:t>
      </w:r>
    </w:p>
    <w:p>
      <w:pPr>
        <w:pStyle w:val="ListBullet"/>
        <w:keepLines w:val="1"/>
        <w:keepNext w:val="1"/>
        <w:widowControl w:val="1"/>
      </w:pPr>
      <w:r>
        <w:br/>
        <w:br/>
        <w:t xml:space="preserve">80: madurez muy alta.  </w:t>
        <w:br/>
        <w:br/>
      </w:r>
    </w:p>
    <w:p>
      <w:pPr>
        <w:pStyle w:val="ListBullet"/>
        <w:keepLines w:val="1"/>
        <w:widowControl w:val="1"/>
      </w:pPr>
      <w:r>
        <w:t>Mensaje breve: “Dónde estamos en una escala razonable de ambición”.</w:t>
      </w:r>
    </w:p>
    <w:p>
      <w:r>
        <w:t xml:space="preserve">80: madurez muy alta.  </w:t>
      </w:r>
    </w:p>
    <w:p>
      <w:pPr>
        <w:pStyle w:val="Heading2"/>
        <w:keepNext/>
        <w:keepLines/>
      </w:pPr>
      <w:r>
        <w:rPr>
          <w:color w:val="0066CC"/>
        </w:rPr>
        <w:t>Diapositiva 5 – Desglose de índices por dimensión</w:t>
      </w:r>
    </w:p>
    <w:p>
      <w:pPr>
        <w:pStyle w:val="ListBullet"/>
        <w:keepLines w:val="1"/>
        <w:keepNext w:val="1"/>
        <w:widowControl w:val="1"/>
      </w:pPr>
      <w:r>
        <w:t xml:space="preserve">Gráfico radar o barras horizontales con: IVA, IHC, IEP, IRA, ICR, IGC.  </w:t>
      </w:r>
    </w:p>
    <w:p>
      <w:pPr>
        <w:pStyle w:val="ListBullet"/>
        <w:keepLines w:val="1"/>
        <w:keepNext w:val="1"/>
        <w:widowControl w:val="1"/>
      </w:pPr>
      <w:r>
        <w:t xml:space="preserve">Comentario:  </w:t>
      </w:r>
    </w:p>
    <w:p>
      <w:pPr>
        <w:pStyle w:val="ListBullet"/>
        <w:keepLines w:val="1"/>
        <w:keepNext w:val="1"/>
        <w:widowControl w:val="1"/>
      </w:pPr>
      <w:r>
        <w:t xml:space="preserve">Dimensiones fuertes.  </w:t>
      </w:r>
    </w:p>
    <w:p>
      <w:pPr>
        <w:pStyle w:val="ListBullet"/>
        <w:keepLines w:val="1"/>
        <w:widowControl w:val="1"/>
      </w:pPr>
      <w:r>
        <w:t>Dimensiones claramente por debajo del resto.</w:t>
      </w:r>
    </w:p>
    <w:p>
      <w:pPr>
        <w:pStyle w:val="Heading2"/>
        <w:keepNext/>
        <w:keepLines/>
      </w:pPr>
      <w:r>
        <w:rPr>
          <w:color w:val="0066CC"/>
        </w:rPr>
        <w:t>Diapositiva 6 – Visibilidad de activos (IVA)</w:t>
      </w:r>
    </w:p>
    <w:p>
      <w:pPr>
        <w:pStyle w:val="ListBullet"/>
        <w:keepLines w:val="1"/>
        <w:keepNext w:val="1"/>
        <w:widowControl w:val="1"/>
      </w:pPr>
      <w:r>
        <w:t xml:space="preserve">Visual: gráfico de barras con media y rango de IVA.  </w:t>
      </w:r>
    </w:p>
    <w:p>
      <w:pPr>
        <w:pStyle w:val="ListBullet"/>
        <w:keepLines w:val="1"/>
        <w:keepNext w:val="1"/>
        <w:widowControl w:val="1"/>
      </w:pPr>
      <w:r>
        <w:t xml:space="preserve">Puntos clave:  </w:t>
      </w:r>
    </w:p>
    <w:p>
      <w:pPr>
        <w:pStyle w:val="ListBullet"/>
        <w:keepLines w:val="1"/>
        <w:keepNext w:val="1"/>
        <w:widowControl w:val="1"/>
      </w:pPr>
      <w:r>
        <w:t xml:space="preserve">% entidades con CAASM/ASM en producción.  </w:t>
      </w:r>
    </w:p>
    <w:p>
      <w:pPr>
        <w:pStyle w:val="ListBullet"/>
        <w:keepLines w:val="1"/>
        <w:keepNext w:val="1"/>
        <w:widowControl w:val="1"/>
      </w:pPr>
      <w:r>
        <w:t xml:space="preserve">Frecuencia de activos “sorpresa”.  </w:t>
      </w:r>
    </w:p>
    <w:p>
      <w:pPr>
        <w:pStyle w:val="ListBullet"/>
        <w:keepLines w:val="1"/>
        <w:keepNext w:val="1"/>
        <w:widowControl w:val="1"/>
      </w:pPr>
      <w:r>
        <w:t xml:space="preserve">Visibilidad nube / OT / APIs.  </w:t>
      </w:r>
    </w:p>
    <w:p>
      <w:pPr>
        <w:pStyle w:val="ListBullet"/>
        <w:keepLines w:val="1"/>
        <w:widowControl w:val="1"/>
      </w:pPr>
      <w:r>
        <w:t>Breve cita o frase representativa de la narrativa.</w:t>
      </w:r>
    </w:p>
    <w:p>
      <w:pPr>
        <w:pStyle w:val="Heading2"/>
        <w:keepNext/>
        <w:keepLines/>
      </w:pPr>
      <w:r>
        <w:rPr>
          <w:color w:val="0066CC"/>
        </w:rPr>
        <w:t>Diapositiva 7 – Higiene y controles (IHC)</w:t>
      </w:r>
    </w:p>
    <w:p>
      <w:pPr>
        <w:pStyle w:val="ListBullet"/>
        <w:keepLines w:val="1"/>
        <w:keepNext w:val="1"/>
        <w:widowControl w:val="1"/>
      </w:pPr>
      <w:r>
        <w:t xml:space="preserve">Visual: barras o termómetro.  </w:t>
      </w:r>
    </w:p>
    <w:p>
      <w:pPr>
        <w:pStyle w:val="ListBullet"/>
        <w:keepLines w:val="1"/>
        <w:keepNext w:val="1"/>
        <w:widowControl w:val="1"/>
      </w:pPr>
      <w:r>
        <w:t xml:space="preserve">Puntos clave:  </w:t>
      </w:r>
    </w:p>
    <w:p>
      <w:pPr>
        <w:pStyle w:val="ListBullet"/>
        <w:keepLines w:val="1"/>
        <w:keepNext w:val="1"/>
        <w:widowControl w:val="1"/>
      </w:pPr>
      <w:r>
        <w:t xml:space="preserve">% activos críticos con controles mínimos.  </w:t>
      </w:r>
    </w:p>
    <w:p>
      <w:pPr>
        <w:pStyle w:val="ListBullet"/>
        <w:keepLines w:val="1"/>
        <w:keepNext w:val="1"/>
        <w:widowControl w:val="1"/>
      </w:pPr>
      <w:r>
        <w:t xml:space="preserve">Grado de alineamiento criticidad–controles.  </w:t>
      </w:r>
    </w:p>
    <w:p>
      <w:pPr>
        <w:pStyle w:val="ListBullet"/>
        <w:keepLines w:val="1"/>
        <w:widowControl w:val="1"/>
      </w:pPr>
      <w:r>
        <w:t>Mensaje: “Sabemos qué importa, pero ¿está mejor protegido?”</w:t>
      </w:r>
    </w:p>
    <w:p>
      <w:pPr>
        <w:pStyle w:val="Heading2"/>
        <w:keepNext/>
        <w:keepLines/>
      </w:pPr>
      <w:r>
        <w:rPr>
          <w:color w:val="0066CC"/>
        </w:rPr>
        <w:t>Diapositiva 8 – Exposición y priorización (IEP)</w:t>
      </w:r>
    </w:p>
    <w:p>
      <w:pPr>
        <w:pStyle w:val="ListBullet"/>
        <w:keepLines w:val="1"/>
        <w:keepNext w:val="1"/>
        <w:widowControl w:val="1"/>
      </w:pPr>
      <w:r>
        <w:t xml:space="preserve">Visual: diagrama resumido.  </w:t>
      </w:r>
    </w:p>
    <w:p>
      <w:pPr>
        <w:pStyle w:val="ListBullet"/>
        <w:keepLines w:val="1"/>
        <w:keepNext w:val="1"/>
        <w:widowControl w:val="1"/>
      </w:pPr>
      <w:r>
        <w:t xml:space="preserve">Puntos:  </w:t>
      </w:r>
    </w:p>
    <w:p>
      <w:pPr>
        <w:pStyle w:val="ListBullet"/>
        <w:keepLines w:val="1"/>
        <w:keepNext w:val="1"/>
        <w:widowControl w:val="1"/>
      </w:pPr>
      <w:r>
        <w:t xml:space="preserve">Uso de probabilidad de explotación vs CVSS.  </w:t>
      </w:r>
    </w:p>
    <w:p>
      <w:pPr>
        <w:pStyle w:val="ListBullet"/>
        <w:keepLines w:val="1"/>
        <w:keepNext w:val="1"/>
        <w:widowControl w:val="1"/>
      </w:pPr>
      <w:r>
        <w:t xml:space="preserve">Uso de inteligencia de amenazas.  </w:t>
      </w:r>
    </w:p>
    <w:p>
      <w:pPr>
        <w:pStyle w:val="ListBullet"/>
        <w:keepLines w:val="1"/>
        <w:widowControl w:val="1"/>
      </w:pPr>
      <w:r>
        <w:t xml:space="preserve">Visión consolidada de exposición externa.  </w:t>
      </w:r>
    </w:p>
    <w:p>
      <w:pPr>
        <w:pStyle w:val="Heading2"/>
        <w:keepNext/>
        <w:keepLines/>
      </w:pPr>
      <w:r>
        <w:rPr>
          <w:color w:val="0066CC"/>
        </w:rPr>
        <w:t>Diapositiva 9 – Remediación y automatización (IRA)</w:t>
      </w:r>
    </w:p>
    <w:p>
      <w:pPr>
        <w:pStyle w:val="ListBullet"/>
        <w:keepLines w:val="1"/>
        <w:keepNext w:val="1"/>
        <w:widowControl w:val="1"/>
      </w:pPr>
      <w:r>
        <w:t xml:space="preserve">Visual: barras + indicador de MTTR.  </w:t>
      </w:r>
    </w:p>
    <w:p>
      <w:pPr>
        <w:pStyle w:val="ListBullet"/>
        <w:keepLines w:val="1"/>
        <w:keepNext w:val="1"/>
        <w:widowControl w:val="1"/>
      </w:pPr>
      <w:r>
        <w:t xml:space="preserve">Puntos clave:  </w:t>
      </w:r>
    </w:p>
    <w:p>
      <w:pPr>
        <w:pStyle w:val="ListBullet"/>
        <w:keepLines w:val="1"/>
        <w:keepNext w:val="1"/>
        <w:widowControl w:val="1"/>
      </w:pPr>
      <w:r>
        <w:t xml:space="preserve">MTTR de exposiciones críticas y altas.  </w:t>
      </w:r>
    </w:p>
    <w:p>
      <w:pPr>
        <w:pStyle w:val="ListBullet"/>
        <w:keepLines w:val="1"/>
        <w:keepNext w:val="1"/>
        <w:widowControl w:val="1"/>
      </w:pPr>
      <w:r>
        <w:t xml:space="preserve">% exposiciones críticas resueltas en plazo.  </w:t>
      </w:r>
    </w:p>
    <w:p>
      <w:pPr>
        <w:pStyle w:val="ListBullet"/>
        <w:keepLines w:val="1"/>
        <w:widowControl w:val="1"/>
      </w:pPr>
      <w:r>
        <w:t xml:space="preserve">Grado de automatización y uso de ITSM.  </w:t>
      </w:r>
    </w:p>
    <w:p>
      <w:pPr>
        <w:pStyle w:val="Heading2"/>
        <w:keepNext/>
        <w:keepLines/>
      </w:pPr>
      <w:r>
        <w:rPr>
          <w:color w:val="0066CC"/>
        </w:rPr>
        <w:t>Diapositiva 10 – Cumplimiento y reporting (ICR)</w:t>
      </w:r>
    </w:p>
    <w:p>
      <w:pPr>
        <w:pStyle w:val="ListBullet"/>
        <w:keepLines w:val="1"/>
        <w:keepNext w:val="1"/>
        <w:widowControl w:val="1"/>
      </w:pPr>
      <w:r>
        <w:t xml:space="preserve">Visual: barras.  </w:t>
      </w:r>
    </w:p>
    <w:p>
      <w:pPr>
        <w:pStyle w:val="ListBullet"/>
        <w:keepLines w:val="1"/>
        <w:keepNext w:val="1"/>
        <w:widowControl w:val="1"/>
      </w:pPr>
      <w:r>
        <w:t xml:space="preserve">Puntos clave:  </w:t>
      </w:r>
    </w:p>
    <w:p>
      <w:pPr>
        <w:pStyle w:val="ListBullet"/>
        <w:keepLines w:val="1"/>
        <w:keepNext w:val="1"/>
        <w:widowControl w:val="1"/>
      </w:pPr>
      <w:r>
        <w:t xml:space="preserve">Uso de CAASM para evidencias ENS/NIS2/ISO.  </w:t>
      </w:r>
    </w:p>
    <w:p>
      <w:pPr>
        <w:pStyle w:val="ListBullet"/>
        <w:keepLines w:val="1"/>
        <w:keepNext w:val="1"/>
        <w:widowControl w:val="1"/>
      </w:pPr>
      <w:r>
        <w:t xml:space="preserve">Frecuencia de informes ejecutivos.  </w:t>
      </w:r>
    </w:p>
    <w:p>
      <w:pPr>
        <w:pStyle w:val="ListBullet"/>
        <w:keepLines w:val="1"/>
        <w:widowControl w:val="1"/>
      </w:pPr>
      <w:r>
        <w:t xml:space="preserve">Existencia de mapeos controles‑normas.  </w:t>
      </w:r>
    </w:p>
    <w:p>
      <w:pPr>
        <w:pStyle w:val="Heading2"/>
        <w:keepNext/>
        <w:keepLines/>
      </w:pPr>
      <w:r>
        <w:rPr>
          <w:color w:val="0066CC"/>
        </w:rPr>
        <w:t>Diapositiva 11 – Gobernanza y cultura (IGC)</w:t>
      </w:r>
    </w:p>
    <w:p>
      <w:pPr>
        <w:pStyle w:val="ListBullet"/>
        <w:keepLines w:val="1"/>
        <w:keepNext w:val="1"/>
        <w:widowControl w:val="1"/>
      </w:pPr>
      <w:r>
        <w:t xml:space="preserve">Visual: gráfico sencillo.  </w:t>
      </w:r>
    </w:p>
    <w:p>
      <w:pPr>
        <w:pStyle w:val="ListBullet"/>
        <w:keepLines w:val="1"/>
        <w:keepNext w:val="1"/>
        <w:widowControl w:val="1"/>
      </w:pPr>
      <w:r>
        <w:t xml:space="preserve">Puntos:  </w:t>
      </w:r>
    </w:p>
    <w:p>
      <w:pPr>
        <w:pStyle w:val="ListBullet"/>
        <w:keepLines w:val="1"/>
        <w:keepNext w:val="1"/>
        <w:widowControl w:val="1"/>
      </w:pPr>
      <w:r>
        <w:t xml:space="preserve">Existencia de estrategia CAASM formal.  </w:t>
      </w:r>
    </w:p>
    <w:p>
      <w:pPr>
        <w:pStyle w:val="ListBullet"/>
        <w:keepLines w:val="1"/>
        <w:keepNext w:val="1"/>
        <w:widowControl w:val="1"/>
      </w:pPr>
      <w:r>
        <w:t xml:space="preserve">Integración con gestión de riesgos.  </w:t>
      </w:r>
    </w:p>
    <w:p>
      <w:pPr>
        <w:pStyle w:val="ListBullet"/>
        <w:keepLines w:val="1"/>
        <w:widowControl w:val="1"/>
      </w:pPr>
      <w:r>
        <w:t xml:space="preserve">Evaluación de terceros y compartición de información.  </w:t>
      </w:r>
    </w:p>
    <w:p>
      <w:pPr>
        <w:pStyle w:val="Heading2"/>
        <w:keepNext/>
        <w:keepLines/>
      </w:pPr>
      <w:r>
        <w:rPr>
          <w:color w:val="0066CC"/>
        </w:rPr>
        <w:t>Diapositiva 12 – Comparación interna / externa</w:t>
      </w:r>
    </w:p>
    <w:p>
      <w:pPr>
        <w:pStyle w:val="ListBullet"/>
        <w:keepLines w:val="1"/>
        <w:keepNext w:val="1"/>
        <w:widowControl w:val="1"/>
      </w:pPr>
      <w:r>
        <w:t xml:space="preserve">Opcional:  </w:t>
      </w:r>
    </w:p>
    <w:p>
      <w:pPr>
        <w:pStyle w:val="ListBullet"/>
        <w:keepLines w:val="1"/>
        <w:keepNext w:val="1"/>
        <w:widowControl w:val="1"/>
      </w:pPr>
      <w:r>
        <w:t xml:space="preserve">Comparación por unidad de negocio, país o sector.  </w:t>
      </w:r>
    </w:p>
    <w:p>
      <w:pPr>
        <w:pStyle w:val="ListBullet"/>
        <w:keepLines w:val="1"/>
        <w:widowControl w:val="1"/>
      </w:pPr>
      <w:r>
        <w:t xml:space="preserve">Posicionamiento frente a la media sectorial (si se dispone de benchmark).  </w:t>
      </w:r>
    </w:p>
    <w:p>
      <w:pPr>
        <w:pStyle w:val="Heading2"/>
        <w:keepNext/>
        <w:keepLines/>
      </w:pPr>
      <w:r>
        <w:rPr>
          <w:color w:val="0066CC"/>
        </w:rPr>
        <w:t>Diapositiva 13 – ROI y caso de negocio (si aplica)</w:t>
      </w:r>
    </w:p>
    <w:p>
      <w:pPr>
        <w:pStyle w:val="ListBullet"/>
        <w:keepLines w:val="1"/>
        <w:keepNext w:val="1"/>
        <w:widowControl w:val="1"/>
      </w:pPr>
      <w:r>
        <w:t xml:space="preserve">Resumen de:  </w:t>
      </w:r>
    </w:p>
    <w:p>
      <w:pPr>
        <w:pStyle w:val="ListBullet"/>
        <w:keepLines w:val="1"/>
        <w:keepNext w:val="1"/>
        <w:widowControl w:val="1"/>
      </w:pPr>
      <w:r>
        <w:t xml:space="preserve">Costes anuales estimados de CAASM.  </w:t>
      </w:r>
    </w:p>
    <w:p>
      <w:pPr>
        <w:pStyle w:val="ListBullet"/>
        <w:keepLines w:val="1"/>
        <w:keepNext w:val="1"/>
        <w:widowControl w:val="1"/>
      </w:pPr>
      <w:r>
        <w:t xml:space="preserve">Beneficios estimados (menor número de incidentes, ahorros en auditoría, etc.).  </w:t>
      </w:r>
    </w:p>
    <w:p>
      <w:pPr>
        <w:pStyle w:val="ListBullet"/>
        <w:keepLines w:val="1"/>
        <w:keepNext w:val="1"/>
        <w:widowControl w:val="1"/>
      </w:pPr>
      <w:r>
        <w:t xml:space="preserve">ROI simple.  </w:t>
      </w:r>
    </w:p>
    <w:p>
      <w:pPr>
        <w:pStyle w:val="ListBullet"/>
        <w:keepLines w:val="1"/>
        <w:widowControl w:val="1"/>
      </w:pPr>
      <w:r>
        <w:t>Mensaje: “Por qué esto no es un gasto, sino una póliza de realidad”.</w:t>
      </w:r>
    </w:p>
    <w:p>
      <w:pPr>
        <w:pStyle w:val="Heading2"/>
        <w:keepNext/>
        <w:keepLines/>
      </w:pPr>
      <w:r>
        <w:rPr>
          <w:color w:val="0066CC"/>
        </w:rPr>
        <w:t>Diapositiva 14 – Prioridades estratégicas (12–24 meses)</w:t>
      </w:r>
    </w:p>
    <w:p>
      <w:pPr>
        <w:pStyle w:val="ListBullet"/>
        <w:keepLines w:val="1"/>
        <w:keepNext w:val="1"/>
        <w:widowControl w:val="1"/>
      </w:pPr>
      <w:r>
        <w:t xml:space="preserve">Lista de 3–5 prioridades, por ejemplo:  </w:t>
      </w:r>
    </w:p>
    <w:p>
      <w:pPr>
        <w:pStyle w:val="ListBullet"/>
        <w:keepLines w:val="1"/>
        <w:keepNext w:val="1"/>
        <w:widowControl w:val="1"/>
      </w:pPr>
      <w:r>
        <w:t xml:space="preserve">Completar visibilidad en nube y APIs.  </w:t>
      </w:r>
    </w:p>
    <w:p>
      <w:pPr>
        <w:pStyle w:val="ListBullet"/>
        <w:keepLines w:val="1"/>
        <w:keepNext w:val="1"/>
        <w:widowControl w:val="1"/>
      </w:pPr>
      <w:r>
        <w:t xml:space="preserve">Reducir exposición externa de servicios críticos.  </w:t>
      </w:r>
    </w:p>
    <w:p>
      <w:pPr>
        <w:pStyle w:val="ListBullet"/>
        <w:keepLines w:val="1"/>
        <w:keepNext w:val="1"/>
        <w:widowControl w:val="1"/>
      </w:pPr>
      <w:r>
        <w:t xml:space="preserve">Acelerar y automatizar remediación.  </w:t>
      </w:r>
    </w:p>
    <w:p>
      <w:pPr>
        <w:pStyle w:val="ListBullet"/>
        <w:keepLines w:val="1"/>
        <w:widowControl w:val="1"/>
      </w:pPr>
      <w:r>
        <w:t xml:space="preserve">Integrar CAASM en reporting a comité de riesgos.  </w:t>
      </w:r>
    </w:p>
    <w:p>
      <w:pPr>
        <w:pStyle w:val="Heading2"/>
        <w:keepNext/>
        <w:keepLines/>
      </w:pPr>
      <w:r>
        <w:rPr>
          <w:color w:val="0066CC"/>
        </w:rPr>
        <w:t>Diapositiva 15 – Hoja de ruta propuesta</w:t>
      </w:r>
    </w:p>
    <w:p>
      <w:pPr>
        <w:pStyle w:val="ListBullet"/>
        <w:keepLines w:val="1"/>
        <w:keepNext w:val="1"/>
        <w:widowControl w:val="1"/>
      </w:pPr>
      <w:r>
        <w:t xml:space="preserve">Línea de tiempo con iniciativas clave:  </w:t>
      </w:r>
    </w:p>
    <w:p>
      <w:pPr>
        <w:pStyle w:val="ListBullet"/>
        <w:keepLines w:val="1"/>
        <w:keepNext w:val="1"/>
        <w:widowControl w:val="1"/>
      </w:pPr>
      <w:r>
        <w:t xml:space="preserve">Corto plazo (0–6 meses).  </w:t>
      </w:r>
    </w:p>
    <w:p>
      <w:pPr>
        <w:pStyle w:val="ListBullet"/>
        <w:keepLines w:val="1"/>
        <w:keepNext w:val="1"/>
        <w:widowControl w:val="1"/>
      </w:pPr>
      <w:r>
        <w:t xml:space="preserve">Medio plazo (6–18 meses).  </w:t>
      </w:r>
    </w:p>
    <w:p>
      <w:pPr>
        <w:pStyle w:val="ListBullet"/>
        <w:keepLines w:val="1"/>
        <w:widowControl w:val="1"/>
      </w:pPr>
      <w:r>
        <w:t xml:space="preserve">Largo plazo (18–36 meses).  </w:t>
      </w:r>
    </w:p>
    <w:p>
      <w:pPr>
        <w:pStyle w:val="Heading2"/>
        <w:keepNext/>
        <w:keepLines/>
      </w:pPr>
      <w:r>
        <w:rPr>
          <w:color w:val="0066CC"/>
        </w:rPr>
        <w:t>Diapositiva 16 – Conclusiones</w:t>
      </w:r>
    </w:p>
    <w:p>
      <w:pPr>
        <w:pStyle w:val="ListBullet"/>
        <w:keepLines w:val="1"/>
        <w:keepNext w:val="1"/>
        <w:widowControl w:val="1"/>
      </w:pPr>
      <w:r>
        <w:t xml:space="preserve">3 mensajes clave:  </w:t>
      </w:r>
    </w:p>
    <w:p>
      <w:pPr>
        <w:pStyle w:val="ListBullet"/>
        <w:keepLines w:val="1"/>
        <w:keepNext w:val="1"/>
        <w:widowControl w:val="1"/>
      </w:pPr>
      <w:r>
        <w:t xml:space="preserve">Lo que estamos haciendo bien.  </w:t>
      </w:r>
    </w:p>
    <w:p>
      <w:pPr>
        <w:pStyle w:val="ListBullet"/>
        <w:keepLines w:val="1"/>
        <w:keepNext w:val="1"/>
        <w:widowControl w:val="1"/>
      </w:pPr>
      <w:r>
        <w:t xml:space="preserve">Lo que más urge mejorar.  </w:t>
      </w:r>
    </w:p>
    <w:p>
      <w:pPr>
        <w:pStyle w:val="ListBullet"/>
        <w:keepLines w:val="1"/>
        <w:widowControl w:val="1"/>
      </w:pPr>
      <w:r>
        <w:t xml:space="preserve">Lo que necesitamos (recursos, apoyo, cambios).  </w:t>
      </w:r>
    </w:p>
    <w:p>
      <w:pPr>
        <w:pStyle w:val="Heading2"/>
        <w:keepNext/>
        <w:keepLines/>
      </w:pPr>
      <w:r>
        <w:rPr>
          <w:color w:val="0066CC"/>
        </w:rPr>
        <w:t>Diapositiva 17 – Preguntas y debate</w:t>
      </w:r>
    </w:p>
    <w:p>
      <w:pPr>
        <w:pStyle w:val="ListBullet"/>
        <w:keepLines w:val="1"/>
        <w:widowControl w:val="1"/>
      </w:pPr>
      <w:r>
        <w:t xml:space="preserve">Espacio reservado para discusión con la alta dirección.  </w:t>
      </w:r>
    </w:p>
    <w:p>
      <w:r>
        <w:t>Fin de la plantilla descriptiva.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