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CAASM</w:t>
      </w:r>
    </w:p>
    <w:p>
      <w:pPr>
        <w:pStyle w:val="Heading2"/>
        <w:keepNext/>
        <w:keepLines/>
      </w:pPr>
      <w:r>
        <w:rPr>
          <w:color w:val="0066CC"/>
        </w:rPr>
        <w:t>Gestión de la Superficie de Ataque de Activos Cibernéticos</w:t>
      </w:r>
    </w:p>
    <w:p>
      <w:r>
        <w:t>Bienvenido/a al kit de encuesta CAASM. Este conjunto de documentos está diseñado para ayudarle a evaluar, con rigor y un mínimo de sentido del humor, la madurez de su organización en la gestión de la superficie de ataque de activos cibernéticos.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pPr>
        <w:pStyle w:val="ListNumber"/>
        <w:keepLines w:val="1"/>
        <w:keepNext w:val="1"/>
        <w:widowControl w:val="1"/>
      </w:pPr>
      <w:r>
        <w:t xml:space="preserve">encuesta_caasm.md </w:t>
      </w:r>
    </w:p>
    <w:p>
      <w:pPr>
        <w:pStyle w:val="ListNumber"/>
        <w:keepLines w:val="1"/>
        <w:keepNext w:val="1"/>
        <w:widowControl w:val="1"/>
      </w:pPr>
      <w:r>
        <w:t xml:space="preserve">Modelo completo de encuesta para responsables de ciberseguridad, riesgo y operaciones.  </w:t>
      </w:r>
    </w:p>
    <w:p>
      <w:pPr>
        <w:pStyle w:val="ListNumber"/>
        <w:keepLines w:val="1"/>
        <w:keepNext w:val="1"/>
        <w:widowControl w:val="1"/>
      </w:pPr>
      <w:r>
        <w:br/>
        <w:t>Preguntas organizadas en 7 bloques temáticos (visibilidad, higiene, exposición, remediación, cumplimiento, gobernanza, cultura).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guia_metodologica_caasm.md </w:t>
        <w:br/>
      </w:r>
    </w:p>
    <w:p>
      <w:pPr>
        <w:pStyle w:val="ListNumber"/>
        <w:keepLines w:val="1"/>
        <w:keepNext w:val="1"/>
        <w:widowControl w:val="1"/>
      </w:pPr>
      <w:r>
        <w:t xml:space="preserve">Explica la lógica de diseño de la encuesta, las escalas de respuesta y la forma de calcular índices de madurez.  </w:t>
      </w:r>
    </w:p>
    <w:p>
      <w:pPr>
        <w:pStyle w:val="ListNumber"/>
        <w:keepLines w:val="1"/>
        <w:keepNext w:val="1"/>
        <w:widowControl w:val="1"/>
      </w:pPr>
      <w:r>
        <w:br/>
        <w:t>Incluye la definición del Índice Global de Madurez (IGM).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narrativa_caasm.md </w:t>
        <w:br/>
      </w:r>
    </w:p>
    <w:p>
      <w:pPr>
        <w:pStyle w:val="ListNumber"/>
        <w:keepLines w:val="1"/>
        <w:keepNext w:val="1"/>
        <w:widowControl w:val="1"/>
      </w:pPr>
      <w:r>
        <w:t xml:space="preserve">Narrativa explicativa para contextualizar la encuesta ante la organización.  </w:t>
      </w:r>
    </w:p>
    <w:p>
      <w:pPr>
        <w:pStyle w:val="ListNumber"/>
        <w:keepLines w:val="1"/>
        <w:keepNext w:val="1"/>
        <w:widowControl w:val="1"/>
      </w:pPr>
      <w:r>
        <w:br/>
        <w:t>Útil para presentaciones internas y para que nadie piense que esto es sólo “otra check‑list”.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mapeo_normativo_caasm.md </w:t>
        <w:br/>
      </w:r>
    </w:p>
    <w:p>
      <w:pPr>
        <w:pStyle w:val="ListNumber"/>
        <w:keepLines w:val="1"/>
        <w:keepNext w:val="1"/>
        <w:widowControl w:val="1"/>
      </w:pPr>
      <w:r>
        <w:t xml:space="preserve">Tabla que relaciona cada pregunta con requisitos de NIS2, ENS, ISO 27001, NIST y otras referencias.  </w:t>
      </w:r>
    </w:p>
    <w:p>
      <w:pPr>
        <w:pStyle w:val="ListNumber"/>
        <w:keepLines w:val="1"/>
        <w:keepNext w:val="1"/>
        <w:widowControl w:val="1"/>
      </w:pPr>
      <w:r>
        <w:br/>
        <w:t>Facilita el uso de la encuesta como herramienta de apoyo a cumplimiento y auditoría.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plantilla_excel_igm_roi.md </w:t>
        <w:br/>
      </w:r>
    </w:p>
    <w:p>
      <w:pPr>
        <w:pStyle w:val="ListNumber"/>
        <w:keepLines w:val="1"/>
        <w:keepNext w:val="1"/>
        <w:widowControl w:val="1"/>
      </w:pPr>
      <w:r>
        <w:t xml:space="preserve">Especificación de la estructura de un Excel para codificar respuestas, calcular índices (incluido el IGM) y estimar un ROI de iniciativas CAASM.  </w:t>
      </w:r>
    </w:p>
    <w:p>
      <w:pPr>
        <w:pStyle w:val="ListNumber"/>
        <w:keepLines w:val="1"/>
        <w:keepNext w:val="1"/>
        <w:widowControl w:val="1"/>
      </w:pPr>
      <w:r>
        <w:br/>
        <w:t>Lista para que el equipo la implemente en su herramienta ofimática favorita.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plantilla_reporte_ejecutivo_ppt.md </w:t>
        <w:br/>
      </w:r>
    </w:p>
    <w:p>
      <w:pPr>
        <w:pStyle w:val="ListNumber"/>
        <w:keepLines w:val="1"/>
        <w:keepNext w:val="1"/>
        <w:widowControl w:val="1"/>
      </w:pPr>
      <w:r>
        <w:t xml:space="preserve">Guía para construir una presentación ejecutiva con resultados, hallazgos y prioridades.  </w:t>
      </w:r>
    </w:p>
    <w:p>
      <w:pPr>
        <w:pStyle w:val="ListNumber"/>
        <w:keepLines w:val="1"/>
        <w:widowControl w:val="1"/>
      </w:pPr>
      <w:r>
        <w:t>Especialmente útil para comités de dirección, consejo o comité de riesgos.</w:t>
      </w:r>
    </w:p>
    <w:p>
      <w:r>
        <w:t>Preguntas organizadas en 7 bloques temáticos (visibilidad, higiene, exposición, remediación, cumplimiento, gobernanza, cultura).</w:t>
      </w:r>
    </w:p>
    <w:p>
      <w:r>
        <w:rPr>
          <w:rFonts w:ascii="Courier New" w:hAnsi="Courier New"/>
          <w:sz w:val="18"/>
        </w:rPr>
        <w:t>guia_metodologica_caasm.md</w:t>
      </w:r>
      <w:r>
        <w:t xml:space="preserve"> </w:t>
      </w:r>
    </w:p>
    <w:p>
      <w:r>
        <w:t>Incluye la definición del Índice Global de Madurez (IGM).</w:t>
      </w:r>
    </w:p>
    <w:p>
      <w:r>
        <w:rPr>
          <w:rFonts w:ascii="Courier New" w:hAnsi="Courier New"/>
          <w:sz w:val="18"/>
        </w:rPr>
        <w:t>narrativa_caasm.md</w:t>
      </w:r>
      <w:r>
        <w:t xml:space="preserve"> </w:t>
      </w:r>
    </w:p>
    <w:p>
      <w:r>
        <w:t>Útil para presentaciones internas y para que nadie piense que esto es sólo “otra check‑list”.</w:t>
      </w:r>
    </w:p>
    <w:p>
      <w:r>
        <w:rPr>
          <w:rFonts w:ascii="Courier New" w:hAnsi="Courier New"/>
          <w:sz w:val="18"/>
        </w:rPr>
        <w:t>mapeo_normativo_caasm.md</w:t>
      </w:r>
      <w:r>
        <w:t xml:space="preserve"> </w:t>
      </w:r>
    </w:p>
    <w:p>
      <w:r>
        <w:t>Facilita el uso de la encuesta como herramienta de apoyo a cumplimiento y auditoría.</w:t>
      </w:r>
    </w:p>
    <w:p>
      <w:r>
        <w:rPr>
          <w:rFonts w:ascii="Courier New" w:hAnsi="Courier New"/>
          <w:sz w:val="18"/>
        </w:rPr>
        <w:t>plantilla_excel_igm_roi.md</w:t>
      </w:r>
      <w:r>
        <w:t xml:space="preserve"> </w:t>
      </w:r>
    </w:p>
    <w:p>
      <w:r>
        <w:t>Lista para que el equipo la implemente en su herramienta ofimática favorita.</w:t>
      </w:r>
    </w:p>
    <w:p>
      <w:r>
        <w:rPr>
          <w:rFonts w:ascii="Courier New" w:hAnsi="Courier New"/>
          <w:sz w:val="18"/>
        </w:rPr>
        <w:t>plantilla_reporte_ejecutivo_ppt.md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Cómo utilizar este kit</w:t>
      </w:r>
    </w:p>
    <w:p>
      <w:pPr>
        <w:pStyle w:val="ListNumber"/>
        <w:keepLines w:val="1"/>
        <w:keepNext w:val="1"/>
        <w:widowControl w:val="1"/>
      </w:pPr>
      <w:r>
        <w:t xml:space="preserve">Adaptar </w:t>
      </w:r>
    </w:p>
    <w:p>
      <w:pPr>
        <w:pStyle w:val="ListNumber"/>
        <w:keepLines w:val="1"/>
        <w:keepNext w:val="1"/>
        <w:widowControl w:val="1"/>
      </w:pPr>
      <w:r>
        <w:t xml:space="preserve">Revise el modelo de encuesta y, si es necesario, ajuste términos a la jerga y realidad de su organización.  </w:t>
      </w:r>
    </w:p>
    <w:p>
      <w:pPr>
        <w:pStyle w:val="ListNumber"/>
        <w:keepLines w:val="1"/>
        <w:keepNext w:val="1"/>
        <w:widowControl w:val="1"/>
      </w:pPr>
      <w:r>
        <w:br/>
        <w:t>Mantenga, en la medida de lo posible, la estructura para preservar comparabilidad.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Aplicar </w:t>
        <w:br/>
      </w:r>
    </w:p>
    <w:p>
      <w:pPr>
        <w:pStyle w:val="ListNumber"/>
        <w:keepLines w:val="1"/>
        <w:keepNext w:val="1"/>
        <w:widowControl w:val="1"/>
      </w:pPr>
      <w:r>
        <w:t xml:space="preserve">Distribuya la encuesta a los responsables adecuados (CISO, IT, OT, cumplimiento, etc.).  </w:t>
      </w:r>
    </w:p>
    <w:p>
      <w:pPr>
        <w:pStyle w:val="ListNumber"/>
        <w:keepLines w:val="1"/>
        <w:keepNext w:val="1"/>
        <w:widowControl w:val="1"/>
      </w:pPr>
      <w:r>
        <w:br/>
        <w:t>Considere utilizar una herramienta de encuestas para facilitar la recopilación.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Codificar </w:t>
        <w:br/>
      </w:r>
    </w:p>
    <w:p>
      <w:pPr>
        <w:pStyle w:val="ListNumber"/>
        <w:keepLines w:val="1"/>
        <w:keepNext w:val="1"/>
        <w:widowControl w:val="1"/>
      </w:pPr>
      <w:r>
        <w:t xml:space="preserve">Transfiera las respuestas a la plantilla Excel siguiendo las indicaciones de plantilla_excel_igm_roi.md.  </w:t>
      </w:r>
    </w:p>
    <w:p>
      <w:pPr>
        <w:pStyle w:val="ListNumber"/>
        <w:keepLines w:val="1"/>
        <w:keepNext w:val="1"/>
        <w:widowControl w:val="1"/>
      </w:pPr>
      <w:r>
        <w:br/>
        <w:t>Asegúrese de que las escalas de codificación son coherentes.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Analizar </w:t>
        <w:br/>
      </w:r>
    </w:p>
    <w:p>
      <w:pPr>
        <w:pStyle w:val="ListNumber"/>
        <w:keepLines w:val="1"/>
        <w:keepNext w:val="1"/>
        <w:widowControl w:val="1"/>
      </w:pPr>
      <w:r>
        <w:t xml:space="preserve">Calcule los índices parciales y el IGM.  </w:t>
      </w:r>
    </w:p>
    <w:p>
      <w:pPr>
        <w:pStyle w:val="ListNumber"/>
        <w:keepLines w:val="1"/>
        <w:keepNext w:val="1"/>
        <w:widowControl w:val="1"/>
      </w:pPr>
      <w:r>
        <w:br/>
        <w:t>Revise la coherencia entre bloques (visibilidad, remediación, etc.).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Comunicar </w:t>
        <w:br/>
      </w:r>
    </w:p>
    <w:p>
      <w:pPr>
        <w:pStyle w:val="ListNumber"/>
        <w:keepLines w:val="1"/>
        <w:keepNext w:val="1"/>
        <w:widowControl w:val="1"/>
      </w:pPr>
      <w:r>
        <w:t xml:space="preserve">Elabore un reporte ejecutivo siguiendo la plantilla propuesta.  </w:t>
      </w:r>
    </w:p>
    <w:p>
      <w:pPr>
        <w:pStyle w:val="ListNumber"/>
        <w:keepLines w:val="1"/>
        <w:keepNext w:val="1"/>
        <w:widowControl w:val="1"/>
      </w:pPr>
      <w:r>
        <w:br/>
        <w:t>Use narrativa_caasm.md para explicar el contexto y sentido de los resultados.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Actuar </w:t>
        <w:br/>
      </w:r>
    </w:p>
    <w:p>
      <w:pPr>
        <w:pStyle w:val="ListNumber"/>
        <w:keepLines w:val="1"/>
        <w:keepNext w:val="1"/>
        <w:widowControl w:val="1"/>
      </w:pPr>
      <w:r>
        <w:t xml:space="preserve">Identifique 3–5 prioridades para los próximos 12–24 meses.  </w:t>
      </w:r>
    </w:p>
    <w:p>
      <w:pPr>
        <w:pStyle w:val="ListNumber"/>
        <w:keepLines w:val="1"/>
        <w:widowControl w:val="1"/>
      </w:pPr>
      <w:r>
        <w:t>Vincule estas prioridades a proyectos concretos (herramientas, procesos, personas).</w:t>
      </w:r>
    </w:p>
    <w:p>
      <w:r>
        <w:t>Mantenga, en la medida de lo posible, la estructura para preservar comparabilidad.</w:t>
      </w:r>
    </w:p>
    <w:p>
      <w:r>
        <w:rPr>
          <w:b/>
        </w:rPr>
        <w:t>Aplicar</w:t>
      </w:r>
      <w:r>
        <w:t xml:space="preserve"> </w:t>
      </w:r>
    </w:p>
    <w:p>
      <w:r>
        <w:t>Considere utilizar una herramienta de encuestas para facilitar la recopilación.</w:t>
      </w:r>
    </w:p>
    <w:p>
      <w:r>
        <w:rPr>
          <w:b/>
        </w:rPr>
        <w:t>Codificar</w:t>
      </w:r>
      <w:r>
        <w:t xml:space="preserve"> </w:t>
      </w:r>
    </w:p>
    <w:p>
      <w:r>
        <w:t>Asegúrese de que las escalas de codificación son coherentes.</w:t>
      </w:r>
    </w:p>
    <w:p>
      <w:r>
        <w:rPr>
          <w:b/>
        </w:rPr>
        <w:t>Analizar</w:t>
      </w:r>
      <w:r>
        <w:t xml:space="preserve"> </w:t>
      </w:r>
    </w:p>
    <w:p>
      <w:r>
        <w:t>Revise la coherencia entre bloques (visibilidad, remediación, etc.).</w:t>
      </w:r>
    </w:p>
    <w:p>
      <w:r>
        <w:rPr>
          <w:b/>
        </w:rPr>
        <w:t>Comunicar</w:t>
      </w:r>
      <w:r>
        <w:t xml:space="preserve"> </w:t>
      </w:r>
    </w:p>
    <w:p>
      <w:r>
        <w:t xml:space="preserve">Use </w:t>
      </w:r>
      <w:r>
        <w:rPr>
          <w:rFonts w:ascii="Courier New" w:hAnsi="Courier New"/>
          <w:sz w:val="18"/>
        </w:rPr>
        <w:t>narrativa_caasm.md</w:t>
      </w:r>
      <w:r>
        <w:t xml:space="preserve"> para explicar el contexto y sentido de los resultados.</w:t>
      </w:r>
    </w:p>
    <w:p>
      <w:r>
        <w:rPr>
          <w:b/>
        </w:rPr>
        <w:t>Actuar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Buenas prácticas de uso</w:t>
      </w:r>
    </w:p>
    <w:p>
      <w:pPr>
        <w:pStyle w:val="ListBullet"/>
        <w:keepLines w:val="1"/>
        <w:keepNext w:val="1"/>
        <w:widowControl w:val="1"/>
      </w:pPr>
      <w:r>
        <w:t xml:space="preserve">No convierta la encuesta en una auditoría punitiva. Es una herramienta de autoevaluación honesta, no un arma arrojadiza.  </w:t>
      </w:r>
    </w:p>
    <w:p>
      <w:pPr>
        <w:pStyle w:val="ListBullet"/>
        <w:keepLines w:val="1"/>
        <w:keepNext w:val="1"/>
        <w:widowControl w:val="1"/>
      </w:pPr>
      <w:r>
        <w:t xml:space="preserve">Involucre a varios perfiles en la respuesta para evitar puntos ciegos.  </w:t>
      </w:r>
    </w:p>
    <w:p>
      <w:pPr>
        <w:pStyle w:val="ListBullet"/>
        <w:keepLines w:val="1"/>
        <w:keepNext w:val="1"/>
        <w:widowControl w:val="1"/>
      </w:pPr>
      <w:r>
        <w:t xml:space="preserve">Repita la encuesta periódicamente (por ejemplo, cada 18 meses) para medir evolución.  </w:t>
      </w:r>
    </w:p>
    <w:p>
      <w:pPr>
        <w:pStyle w:val="ListBullet"/>
        <w:keepLines w:val="1"/>
        <w:widowControl w:val="1"/>
      </w:pPr>
      <w:r>
        <w:t>Comparta resultados agregados (anonimizados) con la comunidad sectorial cuando sea posible: el conocimiento compartido fortalece a todos.</w:t>
      </w:r>
    </w:p>
    <w:p>
      <w:pPr>
        <w:pStyle w:val="Heading2"/>
        <w:keepNext/>
        <w:keepLines/>
      </w:pPr>
      <w:r>
        <w:rPr>
          <w:color w:val="0066CC"/>
        </w:rPr>
        <w:t>Contacto y evolución</w:t>
      </w:r>
    </w:p>
    <w:p>
      <w:r>
        <w:t>Este kit está pensado para evolucionar con:</w:t>
      </w:r>
    </w:p>
    <w:p>
      <w:pPr>
        <w:pStyle w:val="ListBullet"/>
        <w:keepLines w:val="1"/>
        <w:keepNext w:val="1"/>
        <w:widowControl w:val="1"/>
      </w:pPr>
      <w:r>
        <w:t xml:space="preserve">Cambios normativos (NIS2, ENS, DORA, CRA, etc.).  </w:t>
      </w:r>
    </w:p>
    <w:p>
      <w:pPr>
        <w:pStyle w:val="ListBullet"/>
        <w:keepLines w:val="1"/>
        <w:keepNext w:val="1"/>
        <w:widowControl w:val="1"/>
      </w:pPr>
      <w:r>
        <w:t xml:space="preserve">Nuevas capacidades tecnológicas (CAASM, ASM, EASM, gestión de exposición).  </w:t>
      </w:r>
    </w:p>
    <w:p>
      <w:pPr>
        <w:pStyle w:val="ListBullet"/>
        <w:keepLines w:val="1"/>
        <w:widowControl w:val="1"/>
      </w:pPr>
      <w:r>
        <w:t>Experiencia acumulada de organizaciones que decidan usarlo.</w:t>
      </w:r>
    </w:p>
    <w:p>
      <w:r>
        <w:t>Si, tras utilizarlo, sienten la tentación de mejorarlo, es buena señal: significa que ha cumplido su cometido.</w:t>
      </w:r>
    </w:p>
    <w:p>
      <w:r>
        <w:t>Fin del README del Kit de Encuesta CAASM.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