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Informe CAASM.</w:t>
      </w:r>
    </w:p>
    <w:p>
      <w:r>
        <w:t>La CAASM se está consolidando desde 2025 como el “sistema nervioso central” de la gestión de activos y de la superficie de ataque, y sus indicadores evolucionan claramente hacia: visibilidad unificada, riesgo material, alineamiento regulatorio (NIS2, ENS, GDPR) y capacidad de remediación continua. A nivel España, la presión regulatoria UE‑centrada y el peso de sectores esenciales hacen que los indicadores territoriales de CAASM graviten sobre exposición sectorial, criticidad de servicios públicos y madurez de supervisión continua, en sintonía con el enfoque europeo de ENISA y NIS2.</w:t>
      </w:r>
      <w:r/>
      <w:r>
        <w:rPr/>
        <w:footnoteReference w:id="1"/>
      </w:r>
      <w:r/>
      <w:r>
        <w:rPr/>
        <w:footnoteReference w:id="2"/>
      </w:r>
      <w:r/>
      <w:r>
        <w:rPr/>
        <w:footnoteReference w:id="3"/>
      </w:r>
      <w:r/>
      <w:r>
        <w:rPr/>
        <w:footnoteReference w:id="4"/>
      </w:r>
      <w:r/>
      <w:r>
        <w:rPr/>
        <w:footnoteReference w:id="5"/>
      </w:r>
      <w:r/>
      <w:r>
        <w:rPr/>
        <w:footnoteReference w:id="6"/>
      </w:r>
    </w:p>
    <w:p>
      <w:pPr>
        <w:pStyle w:val="Heading2"/>
        <w:keepNext/>
        <w:keepLines/>
      </w:pPr>
      <w:r>
        <w:rPr>
          <w:color w:val="0066CC"/>
        </w:rPr>
        <w:t>1. Qué es CAASM hoy (y qué le exigimos)</w:t>
      </w:r>
    </w:p>
    <w:p>
      <w:pPr>
        <w:pStyle w:val="ListBullet"/>
        <w:keepLines w:val="1"/>
        <w:keepNext w:val="1"/>
        <w:widowControl w:val="1"/>
      </w:pPr>
      <w:r>
        <w:t>La gestión de la superficie de ataque de activos cibernéticos (CAASM) se basa en descubrir, inventariar y correlacionar todos los activos (TI, OT, IoT, nube, identidades, contenedores, APIs) y sus riesgos en un único “panel de realidad” para el equipo de seguridad.7231</w:t>
      </w:r>
    </w:p>
    <w:p>
      <w:pPr>
        <w:pStyle w:val="ListBullet"/>
        <w:keepLines w:val="1"/>
        <w:keepNext w:val="1"/>
        <w:widowControl w:val="1"/>
      </w:pPr>
      <w:r>
        <w:t>Los fabricantes y analistas coinciden en que CAASM ya no es “un inventario más”, sino un agregador de datos que cruza CMDB, EDR, IAM, nubes, vulnerabilidades y telemetría para construir un inventario vivo y accionable de riesgos de superficie de ataque.28317</w:t>
      </w:r>
    </w:p>
    <w:p>
      <w:pPr>
        <w:pStyle w:val="ListBullet"/>
        <w:keepLines w:val="1"/>
        <w:widowControl w:val="1"/>
      </w:pPr>
      <w:r>
        <w:t>Desde 2024–2026, los informes de mercado ven a CAASM como pieza clave del giro desde CMDB tradicional hacia gestión de superficie y exposición, con previsión de fuerte despegue del mercado antes de 2027.9851011</w:t>
      </w:r>
    </w:p>
    <w:p>
      <w:r>
        <w:t>Ejemplo ilustrativo: si el ministerio X declara en la CMDB 5.000 servidores, el CAASM le dirá que en realidad expone 5.700 superficies lógicas relevantes (incluyendo VMs olvidadas, microservicios huérfanos y APIs fantasma) y qué parte de esa fauna es verdaderamente peligrosa hoy.</w:t>
      </w:r>
      <w:r/>
      <w:r>
        <w:rPr/>
        <w:footnoteReference w:id="3"/>
      </w:r>
      <w:r/>
      <w:r>
        <w:rPr/>
        <w:footnoteReference w:id="1"/>
      </w:r>
      <w:r/>
      <w:r>
        <w:rPr/>
        <w:footnoteReference w:id="7"/>
      </w:r>
      <w:r/>
      <w:r>
        <w:rPr/>
        <w:footnoteReference w:id="2"/>
      </w:r>
    </w:p>
    <w:p>
      <w:pPr>
        <w:pStyle w:val="Heading2"/>
        <w:keepNext/>
        <w:keepLines/>
      </w:pPr>
      <w:r>
        <w:rPr>
          <w:color w:val="0066CC"/>
        </w:rPr>
        <w:t>2. Bloques de indicadores CAASM (visión global)</w:t>
      </w:r>
    </w:p>
    <w:p>
      <w:r>
        <w:t>A partir de las definiciones técnicas de proveedores, guías de ASM y análisis sectoriales, las métricas de CAASM en 2025–2026 se agrupan en cinco familias: visibilidad, higiene y control, exposición y riesgo, ciclo de vida de remediación, y alineamiento normativo.</w:t>
      </w:r>
      <w:r/>
      <w:r>
        <w:rPr/>
        <w:footnoteReference w:id="12"/>
      </w:r>
      <w:r/>
      <w:r>
        <w:rPr/>
        <w:footnoteReference w:id="13"/>
      </w:r>
      <w:r/>
      <w:r>
        <w:rPr/>
        <w:footnoteReference w:id="11"/>
      </w:r>
      <w:r/>
      <w:r>
        <w:rPr/>
        <w:footnoteReference w:id="1"/>
      </w:r>
      <w:r/>
      <w:r>
        <w:rPr/>
        <w:footnoteReference w:id="7"/>
      </w:r>
      <w:r/>
      <w:r>
        <w:rPr/>
        <w:footnoteReference w:id="2"/>
      </w:r>
      <w:r/>
      <w:r>
        <w:rPr/>
        <w:footnoteReference w:id="3"/>
      </w:r>
    </w:p>
    <w:p>
      <w:pPr>
        <w:pStyle w:val="Heading3"/>
        <w:keepNext/>
        <w:keepLines/>
      </w:pPr>
      <w:r>
        <w:t>2.1. Visibilidad y cobertura de activos</w:t>
      </w:r>
    </w:p>
    <w:p>
      <w:r>
        <w:t>Indicadores típicos derivados de las capacidades de descubrimiento y agregación descritas por Tenable, CrowdStrike, Zscaler, Vectra y otros:</w:t>
      </w:r>
      <w:r/>
      <w:r>
        <w:rPr/>
        <w:footnoteReference w:id="14"/>
      </w:r>
      <w:r/>
      <w:r>
        <w:rPr/>
        <w:footnoteReference w:id="13"/>
      </w:r>
      <w:r/>
      <w:r>
        <w:rPr/>
        <w:footnoteReference w:id="11"/>
      </w:r>
      <w:r/>
      <w:r>
        <w:rPr/>
        <w:footnoteReference w:id="1"/>
      </w:r>
      <w:r/>
      <w:r>
        <w:rPr/>
        <w:footnoteReference w:id="7"/>
      </w:r>
      <w:r/>
      <w:r>
        <w:rPr/>
        <w:footnoteReference w:id="2"/>
      </w:r>
      <w:r/>
      <w:r>
        <w:rPr/>
        <w:footnoteReference w:id="3"/>
      </w:r>
    </w:p>
    <w:p>
      <w:pPr>
        <w:pStyle w:val="ListBullet"/>
        <w:keepLines w:val="1"/>
        <w:keepNext w:val="1"/>
        <w:widowControl w:val="1"/>
      </w:pPr>
      <w:r>
        <w:t>Porcentaje de activos descubiertos vs activos estimados (ratio de “oscuridad” de la superficie de ataque).</w:t>
      </w:r>
    </w:p>
    <w:p>
      <w:pPr>
        <w:pStyle w:val="ListBullet"/>
        <w:keepLines w:val="1"/>
        <w:keepNext w:val="1"/>
        <w:widowControl w:val="1"/>
      </w:pPr>
      <w:r>
        <w:t>Proporción de TI invisible / “shadow IT” detectada (activos no inventariados que aparecen en escaneos CAASM).</w:t>
      </w:r>
    </w:p>
    <w:p>
      <w:pPr>
        <w:pStyle w:val="ListBullet"/>
        <w:keepLines w:val="1"/>
        <w:keepNext w:val="1"/>
        <w:widowControl w:val="1"/>
      </w:pPr>
      <w:r>
        <w:t>Cobertura de activos por dominio: TI tradicional, OT, IoT, nube (IaaS/PaaS/SaaS), identidades, contenedores/Kubernetes, APIs e interfaces externas.13172123</w:t>
      </w:r>
    </w:p>
    <w:p>
      <w:pPr>
        <w:pStyle w:val="ListBullet"/>
        <w:keepLines w:val="1"/>
        <w:keepNext w:val="1"/>
        <w:widowControl w:val="1"/>
      </w:pPr>
      <w:r>
        <w:t>Grado de integración de fuentes (número y tipo de conectores activos: CMDB, EDR, IAM, nube, escáner de vulnerabilidades, SIEM, etc.).172123</w:t>
      </w:r>
    </w:p>
    <w:p>
      <w:pPr>
        <w:pStyle w:val="ListBullet"/>
        <w:keepLines w:val="1"/>
        <w:widowControl w:val="1"/>
      </w:pPr>
      <w:r>
        <w:t>Actualidad de los datos: latencia media de actualización de inventario, porcentaje de activos con datos “stale”.7231</w:t>
      </w:r>
    </w:p>
    <w:p>
      <w:pPr>
        <w:pStyle w:val="Heading3"/>
        <w:keepNext/>
        <w:keepLines/>
      </w:pPr>
      <w:r>
        <w:t>2.2. Higiene de seguridad y controles</w:t>
      </w:r>
    </w:p>
    <w:p>
      <w:r>
        <w:t>Alineado con la capa de validación de controles que describen Tenable y otros fabricantes:</w:t>
      </w:r>
      <w:r/>
      <w:r>
        <w:rPr/>
        <w:footnoteReference w:id="11"/>
      </w:r>
      <w:r/>
      <w:r>
        <w:rPr/>
        <w:footnoteReference w:id="2"/>
      </w:r>
      <w:r/>
      <w:r>
        <w:rPr/>
        <w:footnoteReference w:id="12"/>
      </w:r>
      <w:r/>
      <w:r>
        <w:rPr/>
        <w:footnoteReference w:id="13"/>
      </w:r>
      <w:r/>
      <w:r>
        <w:rPr/>
        <w:footnoteReference w:id="3"/>
      </w:r>
    </w:p>
    <w:p>
      <w:pPr>
        <w:pStyle w:val="ListBullet"/>
        <w:keepLines w:val="1"/>
        <w:keepNext w:val="1"/>
        <w:widowControl w:val="1"/>
      </w:pPr>
      <w:r>
        <w:t>Porcentaje de activos protegidos por EDR/XDR, cifrado, gestión de parches, MFA y microsegmentación declarados y realmente aplicados (validado por CAASM).</w:t>
      </w:r>
    </w:p>
    <w:p>
      <w:pPr>
        <w:pStyle w:val="ListBullet"/>
        <w:keepLines w:val="1"/>
        <w:keepNext w:val="1"/>
        <w:widowControl w:val="1"/>
      </w:pPr>
      <w:r>
        <w:t>Densidad de activos con configuraciones inseguras (puertos expuestos, servicios inseguros, cifrados débiles, identidades sin MFA, etc.).21337</w:t>
      </w:r>
    </w:p>
    <w:p>
      <w:pPr>
        <w:pStyle w:val="ListBullet"/>
        <w:keepLines w:val="1"/>
        <w:keepNext w:val="1"/>
        <w:widowControl w:val="1"/>
      </w:pPr>
      <w:r>
        <w:t>Cobertura de políticas Zero Trust a nivel de activos: porcentaje de activos integrados en políticas de acceso basado en identidad y contexto.14123</w:t>
      </w:r>
    </w:p>
    <w:p>
      <w:pPr>
        <w:pStyle w:val="ListBullet"/>
        <w:keepLines w:val="1"/>
        <w:widowControl w:val="1"/>
      </w:pPr>
      <w:r>
        <w:t>Número de brechas de control por activo crítico (activos marcados como críticos sin todos los controles exigidos por el marco interno o normas como NIS2/ENS).</w:t>
      </w:r>
    </w:p>
    <w:p>
      <w:pPr>
        <w:pStyle w:val="Heading3"/>
        <w:keepNext/>
        <w:keepLines/>
      </w:pPr>
      <w:r>
        <w:t>2.3. Exposición y riesgo material</w:t>
      </w:r>
    </w:p>
    <w:p>
      <w:r>
        <w:t>Las guías recientes enfatizan que CAASM debe ir más allá del CVSS bruto y acercarse a riesgo material, apoyándose en inteligencia de amenazas y modelos como EPSS.</w:t>
      </w:r>
      <w:r/>
      <w:r>
        <w:rPr/>
        <w:footnoteReference w:id="4"/>
      </w:r>
      <w:r/>
      <w:r>
        <w:rPr/>
        <w:footnoteReference w:id="12"/>
      </w:r>
      <w:r/>
      <w:r>
        <w:rPr/>
        <w:footnoteReference w:id="13"/>
      </w:r>
      <w:r/>
      <w:r>
        <w:rPr/>
        <w:footnoteReference w:id="3"/>
      </w:r>
      <w:r/>
      <w:r>
        <w:rPr/>
        <w:footnoteReference w:id="7"/>
      </w:r>
      <w:r/>
      <w:r>
        <w:rPr/>
        <w:footnoteReference w:id="2"/>
      </w:r>
    </w:p>
    <w:p>
      <w:pPr>
        <w:pStyle w:val="ListBullet"/>
        <w:keepLines w:val="1"/>
        <w:keepNext w:val="1"/>
        <w:widowControl w:val="1"/>
      </w:pPr>
      <w:r>
        <w:t>Activos con vulnerabilidades explotables (según EPSS, inteligencia de amenazas o explotación observada).3472</w:t>
      </w:r>
    </w:p>
    <w:p>
      <w:pPr>
        <w:pStyle w:val="ListBullet"/>
        <w:keepLines w:val="1"/>
        <w:keepNext w:val="1"/>
        <w:widowControl w:val="1"/>
      </w:pPr>
      <w:r>
        <w:t>“Toxic combinations”: activos donde convergen alta criticidad de negocio, exposición externa y vulnerabilidades o fallos de control de alto impacto.121323</w:t>
      </w:r>
    </w:p>
    <w:p>
      <w:pPr>
        <w:pStyle w:val="ListBullet"/>
        <w:keepLines w:val="1"/>
        <w:keepNext w:val="1"/>
        <w:widowControl w:val="1"/>
      </w:pPr>
      <w:r>
        <w:t>Superficie de ataque externa vs interna (número y criticidad de activos expuestos a Internet, terceros o redes interconectadas).6133</w:t>
      </w:r>
    </w:p>
    <w:p>
      <w:pPr>
        <w:pStyle w:val="ListBullet"/>
        <w:keepLines w:val="1"/>
        <w:widowControl w:val="1"/>
      </w:pPr>
      <w:r>
        <w:t>Riesgo agregado por dominio (TI, OT, nube, identidades, APIs) ponderado por impacto de negocio, en línea con la priorización recomendada por ASM/CAASM.1312123</w:t>
      </w:r>
    </w:p>
    <w:p>
      <w:pPr>
        <w:pStyle w:val="Heading3"/>
        <w:keepNext/>
        <w:keepLines/>
      </w:pPr>
      <w:r>
        <w:t>2.4. Remediación y capacidad de respuesta</w:t>
      </w:r>
    </w:p>
    <w:p>
      <w:r>
        <w:t>Las mejores prácticas de ASM subrayan que la métrica relevante ya no es “cuántas vulnerabilidades tengo”, sino “con qué cadencia y eficacia cierro las que importan”.</w:t>
      </w:r>
      <w:r/>
      <w:r>
        <w:rPr/>
        <w:footnoteReference w:id="11"/>
      </w:r>
      <w:r/>
      <w:r>
        <w:rPr/>
        <w:footnoteReference w:id="12"/>
      </w:r>
      <w:r/>
      <w:r>
        <w:rPr/>
        <w:footnoteReference w:id="13"/>
      </w:r>
      <w:r/>
      <w:r>
        <w:rPr/>
        <w:footnoteReference w:id="3"/>
      </w:r>
    </w:p>
    <w:p>
      <w:pPr>
        <w:pStyle w:val="ListBullet"/>
        <w:keepLines w:val="1"/>
        <w:keepNext w:val="1"/>
        <w:widowControl w:val="1"/>
      </w:pPr>
      <w:r>
        <w:t>MTTR de exposición (tiempo medio para mitigar exposición relevante, no solo aplicar parches).</w:t>
      </w:r>
    </w:p>
    <w:p>
      <w:pPr>
        <w:pStyle w:val="ListBullet"/>
        <w:keepLines w:val="1"/>
        <w:keepNext w:val="1"/>
        <w:widowControl w:val="1"/>
      </w:pPr>
      <w:r>
        <w:t>Porcentaje de exposiciones críticas cerradas dentro de los SLA internos (por ejemplo, 7 días para exposiciones de alto riesgo).</w:t>
      </w:r>
    </w:p>
    <w:p>
      <w:pPr>
        <w:pStyle w:val="ListBullet"/>
        <w:keepLines w:val="1"/>
        <w:keepNext w:val="1"/>
        <w:widowControl w:val="1"/>
      </w:pPr>
      <w:r>
        <w:t>Tasa de recurrencia: exposiciones críticas que reaparecen tras una remediación teórica (indica falta de control estructural).12133</w:t>
      </w:r>
    </w:p>
    <w:p>
      <w:pPr>
        <w:pStyle w:val="ListBullet"/>
        <w:keepLines w:val="1"/>
        <w:widowControl w:val="1"/>
      </w:pPr>
      <w:r>
        <w:t>Grado de automatización de remediación: porcentaje de exposiciones cerradas mediante flujos orquestados frente a tareas manuales.1331112</w:t>
      </w:r>
    </w:p>
    <w:p>
      <w:pPr>
        <w:pStyle w:val="Heading3"/>
        <w:keepNext/>
        <w:keepLines/>
      </w:pPr>
      <w:r>
        <w:t>2.5. Cumplimiento y reporting</w:t>
      </w:r>
    </w:p>
    <w:p>
      <w:r>
        <w:t>Los proveedores apuntan a que CAASM se está integrando de forma nativa con marcos como NIST, ISO 27001, GDPR y las directivas europeas.</w:t>
      </w:r>
      <w:r/>
      <w:r>
        <w:rPr/>
        <w:footnoteReference w:id="4"/>
      </w:r>
      <w:r/>
      <w:r>
        <w:rPr/>
        <w:footnoteReference w:id="1"/>
      </w:r>
      <w:r/>
      <w:r>
        <w:rPr/>
        <w:footnoteReference w:id="2"/>
      </w:r>
      <w:r/>
      <w:r>
        <w:rPr/>
        <w:footnoteReference w:id="3"/>
      </w:r>
      <w:r/>
      <w:r>
        <w:rPr/>
        <w:footnoteReference w:id="12"/>
      </w:r>
    </w:p>
    <w:p>
      <w:pPr>
        <w:pStyle w:val="ListBullet"/>
        <w:keepLines w:val="1"/>
        <w:keepNext w:val="1"/>
        <w:widowControl w:val="1"/>
      </w:pPr>
      <w:r>
        <w:t>Trazabilidad de controles frente a marcos NIST SP 800‑53, ISO 27001, NIS2, ENS, GDPR (porcentaje de controles con evidencias automáticas).</w:t>
      </w:r>
    </w:p>
    <w:p>
      <w:pPr>
        <w:pStyle w:val="ListBullet"/>
        <w:keepLines w:val="1"/>
        <w:keepNext w:val="1"/>
        <w:widowControl w:val="1"/>
      </w:pPr>
      <w:r>
        <w:t>Porcentaje de activos sin clasificación adecuada frente al marco de criticidad regulatoria (por ejemplo, esenciales e importantes NIS2).234</w:t>
      </w:r>
    </w:p>
    <w:p>
      <w:pPr>
        <w:pStyle w:val="ListBullet"/>
        <w:keepLines w:val="1"/>
        <w:widowControl w:val="1"/>
      </w:pPr>
      <w:r>
        <w:t>Número de no conformidades detectadas a través de CAASM frente a auditorías puntuales (indicador de madurez de supervisión continua).3212</w:t>
      </w:r>
    </w:p>
    <w:p>
      <w:pPr>
        <w:pStyle w:val="Heading2"/>
        <w:keepNext/>
        <w:keepLines/>
      </w:pPr>
      <w:r>
        <w:rPr>
          <w:color w:val="0066CC"/>
        </w:rPr>
        <w:t>3. Tendencias 2025+ en indicadores CAASM</w:t>
      </w:r>
    </w:p>
    <w:p>
      <w:r>
        <w:t>Basándonos en informes y análisis recientes sobre ASM/CAASM y tendencias de amenazas en la UE, pueden identificarse varias “derivas” claras en las métricas.</w:t>
      </w:r>
      <w:r/>
      <w:r>
        <w:rPr/>
        <w:footnoteReference w:id="5"/>
      </w:r>
      <w:r/>
      <w:r>
        <w:rPr/>
        <w:footnoteReference w:id="10"/>
      </w:r>
      <w:r/>
      <w:r>
        <w:rPr/>
        <w:footnoteReference w:id="6"/>
      </w:r>
      <w:r/>
      <w:r>
        <w:rPr/>
        <w:footnoteReference w:id="4"/>
      </w:r>
      <w:r/>
      <w:r>
        <w:rPr/>
        <w:footnoteReference w:id="11"/>
      </w:r>
      <w:r/>
      <w:r>
        <w:rPr/>
        <w:footnoteReference w:id="12"/>
      </w:r>
      <w:r/>
      <w:r>
        <w:rPr/>
        <w:footnoteReference w:id="13"/>
      </w:r>
      <w:r/>
      <w:r>
        <w:rPr/>
        <w:footnoteReference w:id="3"/>
      </w:r>
    </w:p>
    <w:p>
      <w:pPr>
        <w:pStyle w:val="Heading3"/>
        <w:keepNext/>
        <w:keepLines/>
      </w:pPr>
      <w:r>
        <w:t>3.1. De inventario a riesgo de exposición continua</w:t>
      </w:r>
    </w:p>
    <w:p>
      <w:pPr>
        <w:pStyle w:val="ListBullet"/>
        <w:keepLines w:val="1"/>
        <w:keepNext w:val="1"/>
        <w:widowControl w:val="1"/>
      </w:pPr>
      <w:r>
        <w:t>La literatura de ASM reciente sitúa la gestión de superficie de ataque como ciclo continuo de descubrimiento, clasificación, priorización, remediación y monitorización, lo que empuja a medir ciclos más que fotos fijas.10113</w:t>
      </w:r>
    </w:p>
    <w:p>
      <w:pPr>
        <w:pStyle w:val="ListBullet"/>
        <w:keepLines w:val="1"/>
        <w:keepNext w:val="1"/>
        <w:widowControl w:val="1"/>
      </w:pPr>
      <w:r>
        <w:t>Los indicadores dejan de centrarse en “# vulnerabilidades” y pasan a “exposiciones materialmente explotables cerradas por unidad de tiempo”, en paralelo con el enfoque por riesgo de ENISA y el paisaje de amenazas de la UE (DDoS, ransomware, hacktivismo).43</w:t>
      </w:r>
    </w:p>
    <w:p>
      <w:pPr>
        <w:pStyle w:val="ListBullet"/>
        <w:keepLines w:val="1"/>
        <w:widowControl w:val="1"/>
      </w:pPr>
      <w:r>
        <w:t>Los informes de mercado señalan la maduración de CAASM como mercado propio, con previsiones de crecimiento significativo y consolidación en suites de gestión de exposición, lo que refuerza el énfasis en métricas de reducción de riesgo cuantificable y retorno de inversión.95101112</w:t>
      </w:r>
    </w:p>
    <w:p>
      <w:pPr>
        <w:pStyle w:val="Heading3"/>
        <w:keepNext/>
        <w:keepLines/>
      </w:pPr>
      <w:r>
        <w:t>3.2. Extensión de dominio: nube, IoT/OT, APIs, IA</w:t>
      </w:r>
    </w:p>
    <w:p>
      <w:pPr>
        <w:pStyle w:val="ListBullet"/>
        <w:keepLines w:val="1"/>
        <w:keepNext w:val="1"/>
        <w:widowControl w:val="1"/>
      </w:pPr>
      <w:r>
        <w:t>Los fabricantes resaltan la capacidad de CAASM para abarcar IoT, OT y dispositivos de borde, ampliando el espacio de métricas hacia indicadores sectoriales (por ejemplo, proporción de activos OT con segmentación adecuada, número de interfaces IT/OT expuestas).1212133</w:t>
      </w:r>
    </w:p>
    <w:p>
      <w:pPr>
        <w:pStyle w:val="ListBullet"/>
        <w:keepLines w:val="1"/>
        <w:keepNext w:val="1"/>
        <w:widowControl w:val="1"/>
      </w:pPr>
      <w:r>
        <w:t>El énfasis en APIs y superficies cloud hace que los indicadores incluyan “número de endpoints de API expuestos por error”, “recursos cloud sin etiquetado de criticidad” o “identidades cloud con privilegios excesivos”, integrados en el inventario CAASM.11112133</w:t>
      </w:r>
    </w:p>
    <w:p>
      <w:pPr>
        <w:pStyle w:val="ListBullet"/>
        <w:keepLines w:val="1"/>
        <w:widowControl w:val="1"/>
      </w:pPr>
      <w:r>
        <w:t>Los análisis de ASM empiezan a incorporar ataque a capas de IA y modelos, proponiendo métricas de exposición asociadas a servicios de IA, aunque aún de forma emergente.3</w:t>
      </w:r>
    </w:p>
    <w:p>
      <w:pPr>
        <w:pStyle w:val="Heading3"/>
        <w:keepNext/>
        <w:keepLines/>
      </w:pPr>
      <w:r>
        <w:t>3.3. IA para priorización y predicción</w:t>
      </w:r>
    </w:p>
    <w:p>
      <w:pPr>
        <w:pStyle w:val="ListBullet"/>
        <w:keepLines w:val="1"/>
        <w:keepNext w:val="1"/>
        <w:widowControl w:val="1"/>
      </w:pPr>
      <w:r>
        <w:t>Los informes técnicos subrayan el uso creciente de IA y ML en CAASM para priorizar riesgos, correlacionando valor del activo, vulnerabilidades, exposición real y contexto de amenazas.7212133</w:t>
      </w:r>
    </w:p>
    <w:p>
      <w:pPr>
        <w:pStyle w:val="ListBullet"/>
        <w:keepLines w:val="1"/>
        <w:keepNext w:val="1"/>
        <w:widowControl w:val="1"/>
      </w:pPr>
      <w:r>
        <w:t>La utilización de modelos como EPSS y motores de predicción de explotación se refleja en métricas como “porcentaje de vulnerabilidades con alta probabilidad de explotación aún no mitigadas”.723</w:t>
      </w:r>
    </w:p>
    <w:p>
      <w:pPr>
        <w:pStyle w:val="ListBullet"/>
        <w:keepLines w:val="1"/>
        <w:widowControl w:val="1"/>
      </w:pPr>
      <w:r>
        <w:t>Surgen indicadores de eficacia de la priorización, como “porcentaje de incidentes graves originados en exposiciones previamente clasificadas como bajas”, que sirven para recalibrar los modelos.12133</w:t>
      </w:r>
    </w:p>
    <w:p>
      <w:pPr>
        <w:pStyle w:val="Heading3"/>
        <w:keepNext/>
        <w:keepLines/>
      </w:pPr>
      <w:r>
        <w:t>3.4. Afinidad regulatoria europea (NIS2, ENS, CRA, DORA)</w:t>
      </w:r>
    </w:p>
    <w:p>
      <w:pPr>
        <w:pStyle w:val="ListBullet"/>
        <w:keepLines w:val="1"/>
        <w:keepNext w:val="1"/>
        <w:widowControl w:val="1"/>
      </w:pPr>
      <w:r>
        <w:t>El enfoque europeo en amenazas (ENISA) y NIS2 pone el acento en sectores esenciales y servicios críticos, lo que impulsa métricas por sector, exposición y criticidad de servicio.4</w:t>
      </w:r>
    </w:p>
    <w:p>
      <w:pPr>
        <w:pStyle w:val="ListBullet"/>
        <w:keepLines w:val="1"/>
        <w:keepNext w:val="1"/>
        <w:widowControl w:val="1"/>
      </w:pPr>
      <w:r>
        <w:t>España, inmersa en la aplicación de NIS2, ENS y otros marcos como GDPR y DORA, se ve empujada hacia indicadores de superficie de ataque que permitan demostrar supervisión continua en entidades esenciales e importantes.1564</w:t>
      </w:r>
    </w:p>
    <w:p>
      <w:pPr>
        <w:pStyle w:val="ListBullet"/>
        <w:keepLines w:val="1"/>
        <w:widowControl w:val="1"/>
      </w:pPr>
      <w:r>
        <w:t>CAASM se posiciona como fuente de evidencia para auditorías y autoridades, fomentando métricas de “grado de cobertura de controles ENS/NIS2 por activo” y “tiempo de detección de desviaciones de configuración exigidas por normativa”.21234</w:t>
      </w:r>
    </w:p>
    <w:p>
      <w:pPr>
        <w:pStyle w:val="Heading2"/>
        <w:keepNext/>
        <w:keepLines/>
      </w:pPr>
      <w:r>
        <w:rPr>
          <w:color w:val="0066CC"/>
        </w:rPr>
        <w:t>4. Propuesta de cuadro de mando CAASM nacional para España</w:t>
      </w:r>
    </w:p>
    <w:p>
      <w:r>
        <w:t>A partir de la literatura de CAASM, las tendencias ASM y los informes de amenazas a nivel UE y España, puede bosquejarse un cuadro de indicadores a nivel país, con vocación comparativa internacional.</w:t>
      </w:r>
      <w:r/>
      <w:r>
        <w:rPr/>
        <w:footnoteReference w:id="15"/>
      </w:r>
      <w:r/>
      <w:r>
        <w:rPr/>
        <w:footnoteReference w:id="6"/>
      </w:r>
      <w:r/>
      <w:r>
        <w:rPr/>
        <w:footnoteReference w:id="1"/>
      </w:r>
      <w:r/>
      <w:r>
        <w:rPr/>
        <w:footnoteReference w:id="13"/>
      </w:r>
      <w:r/>
      <w:r>
        <w:rPr/>
        <w:footnoteReference w:id="7"/>
      </w:r>
      <w:r/>
      <w:r>
        <w:rPr/>
        <w:footnoteReference w:id="2"/>
      </w:r>
      <w:r/>
      <w:r>
        <w:rPr/>
        <w:footnoteReference w:id="12"/>
      </w:r>
      <w:r/>
      <w:r>
        <w:rPr/>
        <w:footnoteReference w:id="3"/>
      </w:r>
      <w:r/>
      <w:r>
        <w:rPr/>
        <w:footnoteReference w:id="4"/>
      </w:r>
    </w:p>
    <w:p>
      <w:pPr>
        <w:pStyle w:val="Heading3"/>
        <w:keepNext/>
        <w:keepLines/>
      </w:pPr>
      <w:r>
        <w:t>4.1. Ejes principales de medición</w:t>
      </w:r>
    </w:p>
    <w:p>
      <w:r>
        <w:t xml:space="preserve">1) </w:t>
      </w:r>
      <w:r>
        <w:rPr>
          <w:b/>
        </w:rPr>
        <w:t>Visibilidad y exactitud del inventario nacional</w:t>
      </w:r>
      <w:r/>
      <w:r>
        <w:br/>
        <w:t xml:space="preserve">2) </w:t>
      </w:r>
      <w:r>
        <w:rPr>
          <w:b/>
        </w:rPr>
        <w:t>Exposición de superficie de ataque en sectores esenciales y estratégicos</w:t>
      </w:r>
      <w:r/>
      <w:r>
        <w:br/>
        <w:t xml:space="preserve">3) </w:t>
      </w:r>
      <w:r>
        <w:rPr>
          <w:b/>
        </w:rPr>
        <w:t>Capacidad de remediación y resiliencia</w:t>
      </w:r>
      <w:r/>
      <w:r>
        <w:br/>
        <w:t xml:space="preserve">4) </w:t>
      </w:r>
      <w:r>
        <w:rPr>
          <w:b/>
        </w:rPr>
        <w:t>Convergencia con marcos regulatorios europeos</w:t>
      </w:r>
      <w:r/>
      <w:r>
        <w:br/>
        <w:t xml:space="preserve">5) </w:t>
      </w:r>
      <w:r>
        <w:rPr>
          <w:b/>
        </w:rPr>
        <w:t>Madurez de gobernanza y cooperación público‑privada</w:t>
      </w:r>
    </w:p>
    <w:p>
      <w:pPr>
        <w:pStyle w:val="Heading3"/>
        <w:keepNext/>
        <w:keepLines/>
      </w:pPr>
      <w:r>
        <w:t>4.2. Indicadores sugeridos (vista de alto nivel)</w:t>
      </w:r>
    </w:p>
    <w:p>
      <w:r>
        <w:t>Tabla de categorías y ejemplos de indicadores para un Observatorio Nacional de CAASM: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 sugerido (nivel país)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Visibilidad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Porcentaje estimado de activos críticos (TI/OT/IoT/nube) con representación en plataformas CAASM u homólogas en entidades esenciales.17234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Visibilidad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Ratio medio de activos “descubiertos pero no inventariados” en entidades reguladas (shadow IT) por sector.17234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Exposición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Número y proporción de servicios expuestos a Internet en sectores esenciales sin controles mínimos (MFA, cifrado robusto, endurecimiento básico).72346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Exposición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Densidad de activos OT e IoT sin segmentación adecuada en infraestructuras críticas.121234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Riesgo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Porcentaje de exposiciones con alta probabilidad de explotación (EPSS u otros) pendientes de mitigación en entidades esenciales.7234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Riesgo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Tasa de incidentes significativos asociados a exposiciones previamente identificadas en ASM/CAASM (indicador de brecha entre conocimiento y acción).346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Remediación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MTTR medio de exposición crítica en sectores esenciales (días) y desviación estándar entre sectores.1213346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Remediación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Porcentaje de exposiciones críticas cerradas dentro de plazos recomendados por NIS2 / ENS (por ejemplo, ≤7/30 días según criticidad).234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Cobertura media de controles ENS/NIS2 (seguridad de redes, gestión de activos, gestión de vulnerabilidades) evidenciada automáticamente mediante CAASM.23415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Número de no conformidades recurrentes detectadas en auditorías vs exposiciones ya señaladas por CAASM (indicador de inacción).21234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Gobernanza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Porcentaje de entidades esenciales que comparten telemetría de superficie de ataque con el CSIRT nacional de forma periódica.4156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Gobernanza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Existencia y uso de un repositorio nacional de “patrones de exposición” (misconfiguraciones recurrentes, top errores cloud, etc.).34156</w:t>
            </w:r>
          </w:p>
        </w:tc>
      </w:tr>
    </w:tbl>
    <w:p/>
    <w:p>
      <w:r>
        <w:t>La gracia literaria, por si la quieres enunciada, sería pasar de la métrica “número de servidores” a la métrica “número de oportunidades objetivas que tiene un adversario mínimamente capaz de arruinarnos el café del lunes”.</w:t>
      </w:r>
    </w:p>
    <w:p>
      <w:pPr>
        <w:pStyle w:val="Heading2"/>
        <w:keepNext/>
        <w:keepLines/>
      </w:pPr>
      <w:r>
        <w:rPr>
          <w:color w:val="0066CC"/>
        </w:rPr>
        <w:t>5. España en contexto internacional: puntos finos</w:t>
      </w:r>
    </w:p>
    <w:p>
      <w:r>
        <w:t>A partir del paisaje europeo de amenazas y del peso regulatorio, la construcción de indicadores CAASM a nivel nacional en España debería dialogar con las siguientes realidades.</w:t>
      </w:r>
      <w:r/>
      <w:r>
        <w:rPr/>
        <w:footnoteReference w:id="16"/>
      </w:r>
      <w:r/>
      <w:r>
        <w:rPr/>
        <w:footnoteReference w:id="10"/>
      </w:r>
      <w:r/>
      <w:r>
        <w:rPr/>
        <w:footnoteReference w:id="6"/>
      </w:r>
      <w:r/>
      <w:r>
        <w:rPr/>
        <w:footnoteReference w:id="15"/>
      </w:r>
      <w:r/>
      <w:r>
        <w:rPr/>
        <w:footnoteReference w:id="4"/>
      </w:r>
    </w:p>
    <w:p>
      <w:pPr>
        <w:pStyle w:val="Heading3"/>
        <w:keepNext/>
        <w:keepLines/>
      </w:pPr>
      <w:r>
        <w:t>5.1. Presión de amenaza y sectores prioritarios</w:t>
      </w:r>
    </w:p>
    <w:p>
      <w:pPr>
        <w:pStyle w:val="ListBullet"/>
        <w:keepLines w:val="1"/>
        <w:keepNext w:val="1"/>
        <w:widowControl w:val="1"/>
      </w:pPr>
      <w:r>
        <w:t>ENISA destaca que en la UE los DDoS de hacktivismo y el ransomware siguen siendo amenazas dominantes, con especial impacto en administraciones públicas y sectores esenciales recogidos en NIS2.4</w:t>
      </w:r>
    </w:p>
    <w:p>
      <w:pPr>
        <w:pStyle w:val="ListBullet"/>
        <w:keepLines w:val="1"/>
        <w:keepNext w:val="1"/>
        <w:widowControl w:val="1"/>
      </w:pPr>
      <w:r>
        <w:t>Informes sobre España subrayan el papel de servicios de información, seguridad nacional y otros sectores clave, indicando una concentración de ataques en ámbitos ya señalados por la regulación.6</w:t>
      </w:r>
    </w:p>
    <w:p>
      <w:pPr>
        <w:pStyle w:val="ListBullet"/>
        <w:keepLines w:val="1"/>
        <w:widowControl w:val="1"/>
      </w:pPr>
      <w:r>
        <w:t>Este patrón empuja a que las métricas CAASM nacionales prioricen exposición de superficie de ataque en administración pública, operadores críticos, servicios digitales esenciales y cadena de suministro.1564</w:t>
      </w:r>
    </w:p>
    <w:p>
      <w:pPr>
        <w:pStyle w:val="Heading3"/>
        <w:keepNext/>
        <w:keepLines/>
      </w:pPr>
      <w:r>
        <w:t>5.2. Regulación y mercado nacional</w:t>
      </w:r>
    </w:p>
    <w:p>
      <w:pPr>
        <w:pStyle w:val="ListBullet"/>
        <w:keepLines w:val="1"/>
        <w:keepNext w:val="1"/>
        <w:widowControl w:val="1"/>
      </w:pPr>
      <w:r>
        <w:t>El ecosistema español vive un incremento de presión normativa por GDPR, NIS2, DORA, ENS y el futuro Reglamento de Ciberresiliencia, con exigencias crecientes de evidencias continuas, no solo auditorías anuales.154</w:t>
      </w:r>
    </w:p>
    <w:p>
      <w:pPr>
        <w:pStyle w:val="ListBullet"/>
        <w:keepLines w:val="1"/>
        <w:keepNext w:val="1"/>
        <w:widowControl w:val="1"/>
      </w:pPr>
      <w:r>
        <w:t>El mercado de ciberseguridad en España muestra crecimiento de doble dígito, impulsado por migración a la nube, arquitecturas API‑first y adopción de Zero Trust, lo que amplía la superficie y refuerza la necesidad de CAASM como soporte a estos modelos.15</w:t>
      </w:r>
    </w:p>
    <w:p>
      <w:pPr>
        <w:pStyle w:val="ListBullet"/>
        <w:keepLines w:val="1"/>
        <w:widowControl w:val="1"/>
      </w:pPr>
      <w:r>
        <w:t>A nivel internacional, otros países (p.ej., Canadá) publican evaluaciones de amenazas nacionales que podrían beneficiarse de indicadores CAASM similares, lo que permite diseñar métricas comparables y “exportables”.10164</w:t>
      </w:r>
    </w:p>
    <w:p>
      <w:pPr>
        <w:pStyle w:val="Heading3"/>
        <w:keepNext/>
        <w:keepLines/>
      </w:pPr>
      <w:r>
        <w:t>5.3. Oportunidad de liderazgo metodológico</w:t>
      </w:r>
    </w:p>
    <w:p>
      <w:pPr>
        <w:pStyle w:val="ListBullet"/>
        <w:keepLines w:val="1"/>
        <w:keepNext w:val="1"/>
        <w:widowControl w:val="1"/>
      </w:pPr>
      <w:r>
        <w:t>La UE ya dispone de marcos de referencia de amenazas y sectores esenciales, por lo que España podría elaborar un “apéndice CAASM” nacional que defina indicadores mínimos homogéneos por sector y tamaño de entidad.64</w:t>
      </w:r>
    </w:p>
    <w:p>
      <w:pPr>
        <w:pStyle w:val="ListBullet"/>
        <w:keepLines w:val="1"/>
        <w:widowControl w:val="1"/>
      </w:pPr>
      <w:r>
        <w:t>Esta estandarización facilitaría comparaciones internacionales con otros miembros UE y con países con informes nacionales de amenazas, siempre que adopten indicadores similares de exposición, tiempo de remediación y cobertura de controles.16104</w:t>
      </w:r>
    </w:p>
    <w:p>
      <w:pPr>
        <w:pStyle w:val="Heading2"/>
        <w:keepNext/>
        <w:keepLines/>
      </w:pPr>
      <w:r>
        <w:rPr>
          <w:color w:val="0066CC"/>
        </w:rPr>
        <w:t>6. Batería de preguntas de encuesta (tono inquisitivo‑constructivo)</w:t>
      </w:r>
    </w:p>
    <w:p>
      <w:r>
        <w:t>A continuación, una lista de preguntas y posibles respuestas tipo Likert / opción múltiple para un cuestionario dirigido a CISOs, responsables de riesgo o arquitectos de seguridad en España, con enfoque CAASM nacional y comparativo.</w:t>
      </w:r>
    </w:p>
    <w:p>
      <w:pPr>
        <w:pStyle w:val="Heading3"/>
        <w:keepNext/>
        <w:keepLines/>
      </w:pPr>
      <w:r>
        <w:t>6.1. Visibilidad de activos</w:t>
      </w:r>
    </w:p>
    <w:p>
      <w:pPr>
        <w:pStyle w:val="ListNumber"/>
        <w:keepLines w:val="1"/>
        <w:keepNext w:val="1"/>
        <w:widowControl w:val="1"/>
      </w:pPr>
      <w:r>
        <w:t>“En su organización, ¿qué grado de confianza tiene en que el inventario de activos refleja la realidad viva de su superficie de ataque (TI, OT, IoT, nube, identidades, APIs)?”</w:t>
        <w:br/>
        <w:t>Casi total: confiamos en datos consolidados por una plataforma de CAASM.</w:t>
        <w:br/>
        <w:t>Alta: disponemos de varias fuentes integradas, aunque aún hay islas.</w:t>
        <w:br/>
        <w:t>Limitada: sabemos que hay “zonas oscuras”, especialmente en nube y OT.</w:t>
        <w:br/>
        <w:t>Francamente baja: sospechamos que el mapa es más un deseo que una topografía.</w:t>
        <w:br/>
        <w:br/>
      </w:r>
    </w:p>
    <w:p>
      <w:pPr>
        <w:pStyle w:val="ListNumber"/>
        <w:keepLines w:val="1"/>
        <w:widowControl w:val="1"/>
      </w:pPr>
      <w:r>
        <w:t>“¿Con qué frecuencia se detectan activos ‘sorpresa’ (no inventariados) en auditorías, pentests o escaneos externos?”</w:t>
        <w:br/>
        <w:t>Rara vez (menos de una vez al año).</w:t>
        <w:br/>
        <w:t>Ocasionalmente (1–2 veces al año).</w:t>
        <w:br/>
        <w:t>Con frecuencia (trimestralmente).</w:t>
        <w:br/>
        <w:t>Siempre que alguien mira con un poco de mala intención.</w:t>
        <w:br/>
        <w:br/>
      </w:r>
    </w:p>
    <w:p>
      <w:pPr>
        <w:pStyle w:val="ListBullet"/>
        <w:keepLines w:val="1"/>
        <w:keepNext w:val="1"/>
        <w:widowControl w:val="1"/>
      </w:pPr>
      <w:r>
        <w:t>Casi total: confiamos en datos consolidados por una plataforma de CAASM.</w:t>
      </w:r>
    </w:p>
    <w:p>
      <w:pPr>
        <w:pStyle w:val="ListBullet"/>
        <w:keepLines w:val="1"/>
        <w:keepNext w:val="1"/>
        <w:widowControl w:val="1"/>
      </w:pPr>
      <w:r>
        <w:t>Alta: disponemos de varias fuentes integradas, aunque aún hay islas.</w:t>
      </w:r>
    </w:p>
    <w:p>
      <w:pPr>
        <w:pStyle w:val="ListBullet"/>
        <w:keepLines w:val="1"/>
        <w:keepNext w:val="1"/>
        <w:widowControl w:val="1"/>
      </w:pPr>
      <w:r>
        <w:t>Limitada: sabemos que hay “zonas oscuras”, especialmente en nube y OT.</w:t>
      </w:r>
    </w:p>
    <w:p>
      <w:pPr>
        <w:pStyle w:val="ListBullet"/>
        <w:keepLines w:val="1"/>
        <w:widowControl w:val="1"/>
      </w:pPr>
      <w:r>
        <w:t>Francamente baja: sospechamos que el mapa es más un deseo que una topografía.</w:t>
      </w:r>
    </w:p>
    <w:p>
      <w:pPr>
        <w:pStyle w:val="ListBullet"/>
        <w:keepLines w:val="1"/>
        <w:keepNext w:val="1"/>
        <w:widowControl w:val="1"/>
      </w:pPr>
      <w:r>
        <w:t>Rara vez (menos de una vez al año).</w:t>
      </w:r>
    </w:p>
    <w:p>
      <w:pPr>
        <w:pStyle w:val="ListBullet"/>
        <w:keepLines w:val="1"/>
        <w:keepNext w:val="1"/>
        <w:widowControl w:val="1"/>
      </w:pPr>
      <w:r>
        <w:t>Ocasionalmente (1–2 veces al año).</w:t>
      </w:r>
    </w:p>
    <w:p>
      <w:pPr>
        <w:pStyle w:val="ListBullet"/>
        <w:keepLines w:val="1"/>
        <w:keepNext w:val="1"/>
        <w:widowControl w:val="1"/>
      </w:pPr>
      <w:r>
        <w:t>Con frecuencia (trimestralmente).</w:t>
      </w:r>
    </w:p>
    <w:p>
      <w:pPr>
        <w:pStyle w:val="ListBullet"/>
        <w:keepLines w:val="1"/>
        <w:widowControl w:val="1"/>
      </w:pPr>
      <w:r>
        <w:t>Siempre que alguien mira con un poco de mala intención.</w:t>
      </w:r>
    </w:p>
    <w:p>
      <w:pPr>
        <w:pStyle w:val="Heading3"/>
        <w:keepNext/>
        <w:keepLines/>
      </w:pPr>
      <w:r>
        <w:t>6.2. Cobertura de controles y Zero Trust</w:t>
      </w:r>
    </w:p>
    <w:p>
      <w:pPr>
        <w:pStyle w:val="ListNumber"/>
        <w:keepLines w:val="1"/>
        <w:keepNext w:val="1"/>
        <w:widowControl w:val="1"/>
      </w:pPr>
      <w:r>
        <w:t>“¿Qué porcentaje aproximado de sus activos críticos cuenta con todos los controles de seguridad definidos (EDR/XDR, cifrado, parches al día, MFA, segmentación adecuada)?”</w:t>
        <w:br/>
        <w:t>≥ 90% (lo que falta está en un plan de retirada digna).</w:t>
        <w:br/>
        <w:t>Entre 70% y 89% (las brechas están identificadas y priorizadas).</w:t>
        <w:br/>
        <w:t>Entre 40% y 69% (sabemos qué falta, pero falta oxígeno y presupuesto).</w:t>
        <w:br/>
        <w:t>&lt; 40% (nuestra estrategia es la fe y algún que otro firewall heroico).</w:t>
        <w:br/>
        <w:br/>
      </w:r>
    </w:p>
    <w:p>
      <w:pPr>
        <w:pStyle w:val="ListNumber"/>
        <w:keepLines w:val="1"/>
        <w:widowControl w:val="1"/>
      </w:pPr>
      <w:r>
        <w:t>“Respecto a la adopción de un modelo Zero Trust apoyado en CAASM (inventario de identidades, dispositivos, servicios y datos), su organización se encuentra…”</w:t>
        <w:br/>
        <w:t>En fase avanzada: políticas dinámicas basadas en contexto y riesgo de activo.</w:t>
        <w:br/>
        <w:t>En despliegue: pilotos activos en varios dominios (nube, VPN, entornos sensibles).</w:t>
        <w:br/>
        <w:t>En planificación: hay estrategia y hojas de ruta, aún sin despliegue significativo.</w:t>
        <w:br/>
        <w:t>En fase de contemplación filosófica: hablamos mucho de Zero Trust en presentaciones.</w:t>
        <w:br/>
        <w:br/>
      </w:r>
    </w:p>
    <w:p>
      <w:pPr>
        <w:pStyle w:val="ListBullet"/>
        <w:keepLines w:val="1"/>
        <w:keepNext w:val="1"/>
        <w:widowControl w:val="1"/>
      </w:pPr>
      <w:r>
        <w:t>≥ 90% (lo que falta está en un plan de retirada digna).</w:t>
      </w:r>
    </w:p>
    <w:p>
      <w:pPr>
        <w:pStyle w:val="ListBullet"/>
        <w:keepLines w:val="1"/>
        <w:keepNext w:val="1"/>
        <w:widowControl w:val="1"/>
      </w:pPr>
      <w:r>
        <w:t>Entre 70% y 89% (las brechas están identificadas y priorizadas).</w:t>
      </w:r>
    </w:p>
    <w:p>
      <w:pPr>
        <w:pStyle w:val="ListBullet"/>
        <w:keepLines w:val="1"/>
        <w:keepNext w:val="1"/>
        <w:widowControl w:val="1"/>
      </w:pPr>
      <w:r>
        <w:t>Entre 40% y 69% (sabemos qué falta, pero falta oxígeno y presupuesto).</w:t>
      </w:r>
    </w:p>
    <w:p>
      <w:pPr>
        <w:pStyle w:val="ListBullet"/>
        <w:keepLines w:val="1"/>
        <w:widowControl w:val="1"/>
      </w:pPr>
      <w:r>
        <w:t>&lt; 40% (nuestra estrategia es la fe y algún que otro firewall heroico).</w:t>
      </w:r>
    </w:p>
    <w:p>
      <w:pPr>
        <w:pStyle w:val="ListBullet"/>
        <w:keepLines w:val="1"/>
        <w:keepNext w:val="1"/>
        <w:widowControl w:val="1"/>
      </w:pPr>
      <w:r>
        <w:t>En fase avanzada: políticas dinámicas basadas en contexto y riesgo de activo.</w:t>
      </w:r>
    </w:p>
    <w:p>
      <w:pPr>
        <w:pStyle w:val="ListBullet"/>
        <w:keepLines w:val="1"/>
        <w:keepNext w:val="1"/>
        <w:widowControl w:val="1"/>
      </w:pPr>
      <w:r>
        <w:t>En despliegue: pilotos activos en varios dominios (nube, VPN, entornos sensibles).</w:t>
      </w:r>
    </w:p>
    <w:p>
      <w:pPr>
        <w:pStyle w:val="ListBullet"/>
        <w:keepLines w:val="1"/>
        <w:keepNext w:val="1"/>
        <w:widowControl w:val="1"/>
      </w:pPr>
      <w:r>
        <w:t>En planificación: hay estrategia y hojas de ruta, aún sin despliegue significativo.</w:t>
      </w:r>
    </w:p>
    <w:p>
      <w:pPr>
        <w:pStyle w:val="ListBullet"/>
        <w:keepLines w:val="1"/>
        <w:widowControl w:val="1"/>
      </w:pPr>
      <w:r>
        <w:t>En fase de contemplación filosófica: hablamos mucho de Zero Trust en presentaciones.</w:t>
      </w:r>
    </w:p>
    <w:p>
      <w:pPr>
        <w:pStyle w:val="Heading3"/>
        <w:keepNext/>
        <w:keepLines/>
      </w:pPr>
      <w:r>
        <w:t>6.3. Exposición y riesgo material</w:t>
      </w:r>
    </w:p>
    <w:p>
      <w:pPr>
        <w:pStyle w:val="ListNumber"/>
        <w:keepLines w:val="1"/>
        <w:keepNext w:val="1"/>
        <w:widowControl w:val="1"/>
      </w:pPr>
      <w:r>
        <w:t>“En los últimos 12 meses, ¿se han materializado incidentes significativos vinculados a activos o servicios que CAASM / ASM ya había señalado como ‘en riesgo’?”</w:t>
        <w:br/>
        <w:t>No, las exposiciones identificadas se han tratado a tiempo.</w:t>
        <w:br/>
        <w:t>Sí, pero fueron contenidos sin impacto material relevante.</w:t>
        <w:br/>
        <w:t>Sí, con impacto operativo o reputacional apreciable.</w:t>
        <w:br/>
        <w:t>Sí, y seguimos revisando el diccionario de la palabra ‘prioridad’.</w:t>
        <w:br/>
        <w:br/>
      </w:r>
    </w:p>
    <w:p>
      <w:pPr>
        <w:pStyle w:val="ListNumber"/>
        <w:keepLines w:val="1"/>
        <w:widowControl w:val="1"/>
      </w:pPr>
      <w:r>
        <w:t>“En términos de priorización del riesgo técnico, ¿qué peso real tiene hoy la probabilidad de explotación (EPSS, inteligencia de amenazas) frente a la mera severidad de vulnerabilidades (CVSS)?”</w:t>
        <w:br/>
        <w:t>Predomina la probabilidad de explotación y el contexto de negocio.</w:t>
        <w:br/>
        <w:t>Intentamos ponderar ambos, aunque CVSS sigue dominando las discusiones.</w:t>
        <w:br/>
        <w:t>La severidad técnica es el criterio de facto (CVSS como evangelio).</w:t>
        <w:br/>
        <w:t>El criterio dominante es ‘lo que podemos apagar sin protestas de negocio’.</w:t>
        <w:br/>
        <w:br/>
      </w:r>
    </w:p>
    <w:p>
      <w:pPr>
        <w:pStyle w:val="ListBullet"/>
        <w:keepLines w:val="1"/>
        <w:keepNext w:val="1"/>
        <w:widowControl w:val="1"/>
      </w:pPr>
      <w:r>
        <w:t>No, las exposiciones identificadas se han tratado a tiempo.</w:t>
      </w:r>
    </w:p>
    <w:p>
      <w:pPr>
        <w:pStyle w:val="ListBullet"/>
        <w:keepLines w:val="1"/>
        <w:keepNext w:val="1"/>
        <w:widowControl w:val="1"/>
      </w:pPr>
      <w:r>
        <w:t>Sí, pero fueron contenidos sin impacto material relevante.</w:t>
      </w:r>
    </w:p>
    <w:p>
      <w:pPr>
        <w:pStyle w:val="ListBullet"/>
        <w:keepLines w:val="1"/>
        <w:keepNext w:val="1"/>
        <w:widowControl w:val="1"/>
      </w:pPr>
      <w:r>
        <w:t>Sí, con impacto operativo o reputacional apreciable.</w:t>
      </w:r>
    </w:p>
    <w:p>
      <w:pPr>
        <w:pStyle w:val="ListBullet"/>
        <w:keepLines w:val="1"/>
        <w:widowControl w:val="1"/>
      </w:pPr>
      <w:r>
        <w:t>Sí, y seguimos revisando el diccionario de la palabra ‘prioridad’.</w:t>
      </w:r>
    </w:p>
    <w:p>
      <w:pPr>
        <w:pStyle w:val="ListBullet"/>
        <w:keepLines w:val="1"/>
        <w:keepNext w:val="1"/>
        <w:widowControl w:val="1"/>
      </w:pPr>
      <w:r>
        <w:t>Predomina la probabilidad de explotación y el contexto de negocio.</w:t>
      </w:r>
    </w:p>
    <w:p>
      <w:pPr>
        <w:pStyle w:val="ListBullet"/>
        <w:keepLines w:val="1"/>
        <w:keepNext w:val="1"/>
        <w:widowControl w:val="1"/>
      </w:pPr>
      <w:r>
        <w:t>Intentamos ponderar ambos, aunque CVSS sigue dominando las discusiones.</w:t>
      </w:r>
    </w:p>
    <w:p>
      <w:pPr>
        <w:pStyle w:val="ListBullet"/>
        <w:keepLines w:val="1"/>
        <w:keepNext w:val="1"/>
        <w:widowControl w:val="1"/>
      </w:pPr>
      <w:r>
        <w:t>La severidad técnica es el criterio de facto (CVSS como evangelio).</w:t>
      </w:r>
    </w:p>
    <w:p>
      <w:pPr>
        <w:pStyle w:val="ListBullet"/>
        <w:keepLines w:val="1"/>
        <w:widowControl w:val="1"/>
      </w:pPr>
      <w:r>
        <w:t>El criterio dominante es ‘lo que podemos apagar sin protestas de negocio’.</w:t>
      </w:r>
    </w:p>
    <w:p>
      <w:pPr>
        <w:pStyle w:val="Heading3"/>
        <w:keepNext/>
        <w:keepLines/>
      </w:pPr>
      <w:r>
        <w:t>6.4. Remediación y ciclo de vida</w:t>
      </w:r>
    </w:p>
    <w:p>
      <w:pPr>
        <w:pStyle w:val="ListNumber"/>
        <w:keepLines w:val="1"/>
        <w:keepNext w:val="1"/>
        <w:widowControl w:val="1"/>
      </w:pPr>
      <w:r>
        <w:t>“¿Cuál es su tiempo medio de mitigación de exposiciones críticas (no solo parcheo, sino cierre efectivo de la ventana de ataque)?”</w:t>
        <w:br/>
        <w:t>Menos de 7 días.</w:t>
        <w:br/>
        <w:t>Entre 7 y 30 días.</w:t>
        <w:br/>
        <w:t>Entre 1 y 3 meses.</w:t>
        <w:br/>
        <w:t>Más de 3 meses, o indeterminado (las exposiciones adquieren ciudadanía permanente).</w:t>
        <w:br/>
        <w:br/>
      </w:r>
    </w:p>
    <w:p>
      <w:pPr>
        <w:pStyle w:val="ListNumber"/>
        <w:keepLines w:val="1"/>
        <w:widowControl w:val="1"/>
      </w:pPr>
      <w:r>
        <w:t>“¿Qué grado de automatización existe en la remediación de exposiciones identificadas por CAASM?”</w:t>
        <w:br/>
        <w:t>Alto: uso extensivo de flujos automatizados (SOAR / playbooks).</w:t>
        <w:br/>
        <w:t>Moderado: automatización para casos conocidos, manual para el resto.</w:t>
        <w:br/>
        <w:t>Bajo: la mayoría de las remediaciones requieren coordinación manual.</w:t>
        <w:br/>
        <w:t>Nulo: CAASM nos informa y nosotros suspiramos.</w:t>
        <w:br/>
        <w:br/>
      </w:r>
    </w:p>
    <w:p>
      <w:pPr>
        <w:pStyle w:val="ListBullet"/>
        <w:keepLines w:val="1"/>
        <w:keepNext w:val="1"/>
        <w:widowControl w:val="1"/>
      </w:pPr>
      <w:r>
        <w:t>Menos de 7 días.</w:t>
      </w:r>
    </w:p>
    <w:p>
      <w:pPr>
        <w:pStyle w:val="ListBullet"/>
        <w:keepLines w:val="1"/>
        <w:keepNext w:val="1"/>
        <w:widowControl w:val="1"/>
      </w:pPr>
      <w:r>
        <w:t>Entre 7 y 30 días.</w:t>
      </w:r>
    </w:p>
    <w:p>
      <w:pPr>
        <w:pStyle w:val="ListBullet"/>
        <w:keepLines w:val="1"/>
        <w:keepNext w:val="1"/>
        <w:widowControl w:val="1"/>
      </w:pPr>
      <w:r>
        <w:t>Entre 1 y 3 meses.</w:t>
      </w:r>
    </w:p>
    <w:p>
      <w:pPr>
        <w:pStyle w:val="ListBullet"/>
        <w:keepLines w:val="1"/>
        <w:widowControl w:val="1"/>
      </w:pPr>
      <w:r>
        <w:t>Más de 3 meses, o indeterminado (las exposiciones adquieren ciudadanía permanente).</w:t>
      </w:r>
    </w:p>
    <w:p>
      <w:pPr>
        <w:pStyle w:val="ListBullet"/>
        <w:keepLines w:val="1"/>
        <w:keepNext w:val="1"/>
        <w:widowControl w:val="1"/>
      </w:pPr>
      <w:r>
        <w:t>Alto: uso extensivo de flujos automatizados (SOAR / playbooks).</w:t>
      </w:r>
    </w:p>
    <w:p>
      <w:pPr>
        <w:pStyle w:val="ListBullet"/>
        <w:keepLines w:val="1"/>
        <w:keepNext w:val="1"/>
        <w:widowControl w:val="1"/>
      </w:pPr>
      <w:r>
        <w:t>Moderado: automatización para casos conocidos, manual para el resto.</w:t>
      </w:r>
    </w:p>
    <w:p>
      <w:pPr>
        <w:pStyle w:val="ListBullet"/>
        <w:keepLines w:val="1"/>
        <w:keepNext w:val="1"/>
        <w:widowControl w:val="1"/>
      </w:pPr>
      <w:r>
        <w:t>Bajo: la mayoría de las remediaciones requieren coordinación manual.</w:t>
      </w:r>
    </w:p>
    <w:p>
      <w:pPr>
        <w:pStyle w:val="ListBullet"/>
        <w:keepLines w:val="1"/>
        <w:widowControl w:val="1"/>
      </w:pPr>
      <w:r>
        <w:t>Nulo: CAASM nos informa y nosotros suspiramos.</w:t>
      </w:r>
    </w:p>
    <w:p>
      <w:pPr>
        <w:pStyle w:val="Heading3"/>
        <w:keepNext/>
        <w:keepLines/>
      </w:pPr>
      <w:r>
        <w:t>6.5. Cumplimiento y entorno regulatorio</w:t>
      </w:r>
    </w:p>
    <w:p>
      <w:pPr>
        <w:pStyle w:val="ListNumber"/>
        <w:keepLines w:val="1"/>
        <w:keepNext w:val="1"/>
        <w:widowControl w:val="1"/>
      </w:pPr>
      <w:r>
        <w:t>“¿Hasta qué punto utiliza su organización CAASM o herramientas equivalentes para obtener evidencias continuas de cumplimiento (ENS, NIS2, GDPR, DORA)?”</w:t>
        <w:br/>
        <w:t>Es la fuente principal de evidencias y reporting continuo.</w:t>
        <w:br/>
        <w:t>Se usa como complemento a auditorías tradicionales y revisiones manuales.</w:t>
        <w:br/>
        <w:t>Se utiliza de forma parcial, en algunos dominios (p. ej., nube o endpoints).</w:t>
        <w:br/>
        <w:t>No lo usamos para cumplimiento, solo para apagar incendios técnicos.</w:t>
        <w:br/>
        <w:br/>
      </w:r>
    </w:p>
    <w:p>
      <w:pPr>
        <w:pStyle w:val="ListNumber"/>
        <w:keepLines w:val="1"/>
        <w:widowControl w:val="1"/>
      </w:pPr>
      <w:r>
        <w:t>“De cara a NIS2 y ENS, ¿qué nivel de preparación percibe a la luz de las métricas de superficie de ataque (exposición de servicios, activos críticos inventariados, tiempos de remediación)?”</w:t>
        <w:br/>
        <w:t>Alto: métricas consolidadas, brechas identificadas y proyectos en marcha.</w:t>
        <w:br/>
        <w:t>Medio: buena visibilidad, pero brechas relevantes aún sin financiación asegurada.</w:t>
        <w:br/>
        <w:t>Bajo: sabemos que el delta entre regulación y realidad es considerable.</w:t>
        <w:br/>
        <w:t>Experimental: aún estamos intentando decidir qué debe medirse exactamente.</w:t>
        <w:br/>
        <w:br/>
      </w:r>
    </w:p>
    <w:p>
      <w:pPr>
        <w:pStyle w:val="ListBullet"/>
        <w:keepLines w:val="1"/>
        <w:keepNext w:val="1"/>
        <w:widowControl w:val="1"/>
      </w:pPr>
      <w:r>
        <w:t>Es la fuente principal de evidencias y reporting continuo.</w:t>
      </w:r>
    </w:p>
    <w:p>
      <w:pPr>
        <w:pStyle w:val="ListBullet"/>
        <w:keepLines w:val="1"/>
        <w:keepNext w:val="1"/>
        <w:widowControl w:val="1"/>
      </w:pPr>
      <w:r>
        <w:t>Se usa como complemento a auditorías tradicionales y revisiones manuales.</w:t>
      </w:r>
    </w:p>
    <w:p>
      <w:pPr>
        <w:pStyle w:val="ListBullet"/>
        <w:keepLines w:val="1"/>
        <w:keepNext w:val="1"/>
        <w:widowControl w:val="1"/>
      </w:pPr>
      <w:r>
        <w:t>Se utiliza de forma parcial, en algunos dominios (p. ej., nube o endpoints).</w:t>
      </w:r>
    </w:p>
    <w:p>
      <w:pPr>
        <w:pStyle w:val="ListBullet"/>
        <w:keepLines w:val="1"/>
        <w:widowControl w:val="1"/>
      </w:pPr>
      <w:r>
        <w:t>No lo usamos para cumplimiento, solo para apagar incendios técnicos.</w:t>
      </w:r>
    </w:p>
    <w:p>
      <w:pPr>
        <w:pStyle w:val="ListBullet"/>
        <w:keepLines w:val="1"/>
        <w:keepNext w:val="1"/>
        <w:widowControl w:val="1"/>
      </w:pPr>
      <w:r>
        <w:t>Alto: métricas consolidadas, brechas identificadas y proyectos en marcha.</w:t>
      </w:r>
    </w:p>
    <w:p>
      <w:pPr>
        <w:pStyle w:val="ListBullet"/>
        <w:keepLines w:val="1"/>
        <w:keepNext w:val="1"/>
        <w:widowControl w:val="1"/>
      </w:pPr>
      <w:r>
        <w:t>Medio: buena visibilidad, pero brechas relevantes aún sin financiación asegurada.</w:t>
      </w:r>
    </w:p>
    <w:p>
      <w:pPr>
        <w:pStyle w:val="ListBullet"/>
        <w:keepLines w:val="1"/>
        <w:keepNext w:val="1"/>
        <w:widowControl w:val="1"/>
      </w:pPr>
      <w:r>
        <w:t>Bajo: sabemos que el delta entre regulación y realidad es considerable.</w:t>
      </w:r>
    </w:p>
    <w:p>
      <w:pPr>
        <w:pStyle w:val="ListBullet"/>
        <w:keepLines w:val="1"/>
        <w:widowControl w:val="1"/>
      </w:pPr>
      <w:r>
        <w:t>Experimental: aún estamos intentando decidir qué debe medirse exactamente.</w:t>
      </w:r>
    </w:p>
    <w:p>
      <w:r>
        <w:t>¿Te interesa que bajemos del Olimpo conceptual al barro sectorial (por ejemplo, indicadores CAASM específicos para sanidad, energía o administración pública en España)?</w:t>
      </w:r>
      <w:r/>
      <w:r>
        <w:br/>
      </w:r>
      <w:r>
        <w:t>1718192021222324252627282930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https://www.tenable.com/cybersecurity-guide/learn/what-is-caasm</w:t>
      </w:r>
    </w:p>
  </w:footnote>
  <w:footnote w:id="2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https://es-la.tenable.com/cybersecurity-guide/learn/what-is-caasm</w:t>
      </w:r>
    </w:p>
  </w:footnote>
  <w:footnote w:id="3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https://www.vectra.ai/topics/attack-surface-management</w:t>
      </w:r>
    </w:p>
  </w:footnote>
  <w:footnote w:id="4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https://industrialcyber.co/reports/enisa-2025-threat-landscape-report-highlights-eu-faces-escalating-hacktivist-attacks-and-state-aligned-cyber-threats/</w:t>
      </w:r>
    </w:p>
  </w:footnote>
  <w:footnote w:id="5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https://www.marketreportanalytics.com/reports/cyber-asset-attack-surface-management-52485</w:t>
      </w:r>
    </w:p>
  </w:footnote>
  <w:footnote w:id="6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https://socradar.io/wp-content/uploads/2025/12/Spain-Threat-Landscape-Report-2025.pdf</w:t>
      </w:r>
    </w:p>
  </w:footnote>
  <w:footnote w:id="3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https://www.vectra.ai/topics/attack-surface-management</w:t>
      </w:r>
    </w:p>
  </w:footnote>
  <w:footnote w:id="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https://www.tenable.com/cybersecurity-guide/learn/what-is-caasm</w:t>
      </w:r>
    </w:p>
  </w:footnote>
  <w:footnote w:id="7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https://www.crowdstrike.com/es-es/cybersecurity-101/exposure-management/cyber-asset-attack-surface-management-caasm/</w:t>
      </w:r>
    </w:p>
  </w:footnote>
  <w:footnote w:id="2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https://es-la.tenable.com/cybersecurity-guide/learn/what-is-caasm</w:t>
      </w:r>
    </w:p>
  </w:footnote>
  <w:footnote w:id="12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https://www.jupiterone.com/blog/the-ultimate-caasm-guide-for-2025</w:t>
      </w:r>
    </w:p>
  </w:footnote>
  <w:footnote w:id="13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https://www.openappsec.io/post/best-cyber-asset-attack-surface-management-tools-for-2025</w:t>
      </w:r>
    </w:p>
  </w:footnote>
  <w:footnote w:id="1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https://www.centraleyes.com/cyber-asset-attack-surface-management-caasm-tools/</w:t>
      </w:r>
    </w:p>
  </w:footnote>
  <w:footnote w:id="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https://www.tenable.com/cybersecurity-guide/learn/what-is-caasm</w:t>
      </w:r>
    </w:p>
  </w:footnote>
  <w:footnote w:id="7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https://www.crowdstrike.com/es-es/cybersecurity-101/exposure-management/cyber-asset-attack-surface-management-caasm/</w:t>
      </w:r>
    </w:p>
  </w:footnote>
  <w:footnote w:id="2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https://es-la.tenable.com/cybersecurity-guide/learn/what-is-caasm</w:t>
      </w:r>
    </w:p>
  </w:footnote>
  <w:footnote w:id="3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https://www.vectra.ai/topics/attack-surface-management</w:t>
      </w:r>
    </w:p>
  </w:footnote>
  <w:footnote w:id="14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https://www.zscaler.com/es/products-and-solutions/caasm</w:t>
      </w:r>
    </w:p>
  </w:footnote>
  <w:footnote w:id="13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https://www.openappsec.io/post/best-cyber-asset-attack-surface-management-tools-for-2025</w:t>
      </w:r>
    </w:p>
  </w:footnote>
  <w:footnote w:id="1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https://www.centraleyes.com/cyber-asset-attack-surface-management-caasm-tools/</w:t>
      </w:r>
    </w:p>
  </w:footnote>
  <w:footnote w:id="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https://www.tenable.com/cybersecurity-guide/learn/what-is-caasm</w:t>
      </w:r>
    </w:p>
  </w:footnote>
  <w:footnote w:id="7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https://www.crowdstrike.com/es-es/cybersecurity-101/exposure-management/cyber-asset-attack-surface-management-caasm/</w:t>
      </w:r>
    </w:p>
  </w:footnote>
  <w:footnote w:id="2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https://es-la.tenable.com/cybersecurity-guide/learn/what-is-caasm</w:t>
      </w:r>
    </w:p>
  </w:footnote>
  <w:footnote w:id="3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https://www.vectra.ai/topics/attack-surface-management</w:t>
      </w:r>
    </w:p>
  </w:footnote>
  <w:footnote w:id="1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https://www.centraleyes.com/cyber-asset-attack-surface-management-caasm-tools/</w:t>
      </w:r>
    </w:p>
  </w:footnote>
  <w:footnote w:id="2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https://es-la.tenable.com/cybersecurity-guide/learn/what-is-caasm</w:t>
      </w:r>
    </w:p>
  </w:footnote>
  <w:footnote w:id="12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https://www.jupiterone.com/blog/the-ultimate-caasm-guide-for-2025</w:t>
      </w:r>
    </w:p>
  </w:footnote>
  <w:footnote w:id="13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https://www.openappsec.io/post/best-cyber-asset-attack-surface-management-tools-for-2025</w:t>
      </w:r>
    </w:p>
  </w:footnote>
  <w:footnote w:id="3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https://www.vectra.ai/topics/attack-surface-management</w:t>
      </w:r>
    </w:p>
  </w:footnote>
  <w:footnote w:id="4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https://industrialcyber.co/reports/enisa-2025-threat-landscape-report-highlights-eu-faces-escalating-hacktivist-attacks-and-state-aligned-cyber-threats/</w:t>
      </w:r>
    </w:p>
  </w:footnote>
  <w:footnote w:id="12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https://www.jupiterone.com/blog/the-ultimate-caasm-guide-for-2025</w:t>
      </w:r>
    </w:p>
  </w:footnote>
  <w:footnote w:id="13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https://www.openappsec.io/post/best-cyber-asset-attack-surface-management-tools-for-2025</w:t>
      </w:r>
    </w:p>
  </w:footnote>
  <w:footnote w:id="3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https://www.vectra.ai/topics/attack-surface-management</w:t>
      </w:r>
    </w:p>
  </w:footnote>
  <w:footnote w:id="7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https://www.crowdstrike.com/es-es/cybersecurity-101/exposure-management/cyber-asset-attack-surface-management-caasm/</w:t>
      </w:r>
    </w:p>
  </w:footnote>
  <w:footnote w:id="2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https://es-la.tenable.com/cybersecurity-guide/learn/what-is-caasm</w:t>
      </w:r>
    </w:p>
  </w:footnote>
  <w:footnote w:id="1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https://www.centraleyes.com/cyber-asset-attack-surface-management-caasm-tools/</w:t>
      </w:r>
    </w:p>
  </w:footnote>
  <w:footnote w:id="12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https://www.jupiterone.com/blog/the-ultimate-caasm-guide-for-2025</w:t>
      </w:r>
    </w:p>
  </w:footnote>
  <w:footnote w:id="13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https://www.openappsec.io/post/best-cyber-asset-attack-surface-management-tools-for-2025</w:t>
      </w:r>
    </w:p>
  </w:footnote>
  <w:footnote w:id="3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https://www.vectra.ai/topics/attack-surface-management</w:t>
      </w:r>
    </w:p>
  </w:footnote>
  <w:footnote w:id="4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https://industrialcyber.co/reports/enisa-2025-threat-landscape-report-highlights-eu-faces-escalating-hacktivist-attacks-and-state-aligned-cyber-threats/</w:t>
      </w:r>
    </w:p>
  </w:footnote>
  <w:footnote w:id="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https://www.tenable.com/cybersecurity-guide/learn/what-is-caasm</w:t>
      </w:r>
    </w:p>
  </w:footnote>
  <w:footnote w:id="2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https://es-la.tenable.com/cybersecurity-guide/learn/what-is-caasm</w:t>
      </w:r>
    </w:p>
  </w:footnote>
  <w:footnote w:id="3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https://www.vectra.ai/topics/attack-surface-management</w:t>
      </w:r>
    </w:p>
  </w:footnote>
  <w:footnote w:id="12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https://www.jupiterone.com/blog/the-ultimate-caasm-guide-for-2025</w:t>
      </w:r>
    </w:p>
  </w:footnote>
  <w:footnote w:id="5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https://www.marketreportanalytics.com/reports/cyber-asset-attack-surface-management-52485</w:t>
      </w:r>
    </w:p>
  </w:footnote>
  <w:footnote w:id="10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https://www.kuppingercole.com/watch/attack-surface-management</w:t>
      </w:r>
    </w:p>
  </w:footnote>
  <w:footnote w:id="6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https://socradar.io/wp-content/uploads/2025/12/Spain-Threat-Landscape-Report-2025.pdf</w:t>
      </w:r>
    </w:p>
  </w:footnote>
  <w:footnote w:id="4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https://industrialcyber.co/reports/enisa-2025-threat-landscape-report-highlights-eu-faces-escalating-hacktivist-attacks-and-state-aligned-cyber-threats/</w:t>
      </w:r>
    </w:p>
  </w:footnote>
  <w:footnote w:id="1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https://www.centraleyes.com/cyber-asset-attack-surface-management-caasm-tools/</w:t>
      </w:r>
    </w:p>
  </w:footnote>
  <w:footnote w:id="12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https://www.jupiterone.com/blog/the-ultimate-caasm-guide-for-2025</w:t>
      </w:r>
    </w:p>
  </w:footnote>
  <w:footnote w:id="13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https://www.openappsec.io/post/best-cyber-asset-attack-surface-management-tools-for-2025</w:t>
      </w:r>
    </w:p>
  </w:footnote>
  <w:footnote w:id="3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https://www.vectra.ai/topics/attack-surface-management</w:t>
      </w:r>
    </w:p>
  </w:footnote>
  <w:footnote w:id="15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https://deepstrike.io/blog/top-cybersecurity-companies-spain</w:t>
      </w:r>
    </w:p>
  </w:footnote>
  <w:footnote w:id="6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https://socradar.io/wp-content/uploads/2025/12/Spain-Threat-Landscape-Report-2025.pdf</w:t>
      </w:r>
    </w:p>
  </w:footnote>
  <w:footnote w:id="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https://www.tenable.com/cybersecurity-guide/learn/what-is-caasm</w:t>
      </w:r>
    </w:p>
  </w:footnote>
  <w:footnote w:id="13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https://www.openappsec.io/post/best-cyber-asset-attack-surface-management-tools-for-2025</w:t>
      </w:r>
    </w:p>
  </w:footnote>
  <w:footnote w:id="7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https://www.crowdstrike.com/es-es/cybersecurity-101/exposure-management/cyber-asset-attack-surface-management-caasm/</w:t>
      </w:r>
    </w:p>
  </w:footnote>
  <w:footnote w:id="2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https://es-la.tenable.com/cybersecurity-guide/learn/what-is-caasm</w:t>
      </w:r>
    </w:p>
  </w:footnote>
  <w:footnote w:id="12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https://www.jupiterone.com/blog/the-ultimate-caasm-guide-for-2025</w:t>
      </w:r>
    </w:p>
  </w:footnote>
  <w:footnote w:id="3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https://www.vectra.ai/topics/attack-surface-management</w:t>
      </w:r>
    </w:p>
  </w:footnote>
  <w:footnote w:id="4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https://industrialcyber.co/reports/enisa-2025-threat-landscape-report-highlights-eu-faces-escalating-hacktivist-attacks-and-state-aligned-cyber-threats/</w:t>
      </w:r>
    </w:p>
  </w:footnote>
  <w:footnote w:id="16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https://www.cyber.gc.ca/en/guidance/national-cyber-threat-assessment-2025-2026</w:t>
      </w:r>
    </w:p>
  </w:footnote>
  <w:footnote w:id="10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https://www.kuppingercole.com/watch/attack-surface-management</w:t>
      </w:r>
    </w:p>
  </w:footnote>
  <w:footnote w:id="6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https://socradar.io/wp-content/uploads/2025/12/Spain-Threat-Landscape-Report-2025.pdf</w:t>
      </w:r>
    </w:p>
  </w:footnote>
  <w:footnote w:id="15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https://deepstrike.io/blog/top-cybersecurity-companies-spain</w:t>
      </w:r>
    </w:p>
  </w:footnote>
  <w:footnote w:id="4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https://industrialcyber.co/reports/enisa-2025-threat-landscape-report-highlights-eu-faces-escalating-hacktivist-attacks-and-state-aligned-cyber-threats/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