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CAASM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>Este documento integra la metodología Goal–Question–Metric (GQM) con la evaluación PRAGMATIC (Predictivo, Relevante, Accionable, Genuino, Significativo, Preciso, Oportuno, Independiente y Rentable) aplicada a los indicadores propuestos para un marco nacional CAASM.</w:t>
      </w:r>
    </w:p>
    <w:p>
      <w:r>
        <w:t>Se parte de los grandes objetivos nacionales (nivel país) en materia de ciberseguridad y gestión de la superficie de ataque, se descomponen en preguntas GQM y se vinculan con métricas técnicas, cada una evaluada bajo los nueve criterios PRAGMATIC.</w:t>
      </w:r>
    </w:p>
    <w:p>
      <w:pPr>
        <w:pStyle w:val="Heading2"/>
        <w:keepNext/>
        <w:keepLines/>
      </w:pPr>
      <w:r>
        <w:rPr>
          <w:color w:val="0066CC"/>
        </w:rPr>
        <w:t>2. Objetivos GQM de alto nivel (nivel nacional)</w:t>
      </w:r>
    </w:p>
    <w:p>
      <w:r>
        <w:t xml:space="preserve">G1. Asegurar una </w:t>
      </w:r>
      <w:r>
        <w:rPr>
          <w:b/>
        </w:rPr>
        <w:t>alta visibilidad</w:t>
      </w:r>
      <w:r>
        <w:t xml:space="preserve"> de la superficie de ataque de activos críticos (TI, OT, IoT, nube, identidades, APIs) en organizaciones esenciales e importantes.</w:t>
      </w:r>
      <w:r/>
      <w:r>
        <w:br/>
        <w:t xml:space="preserve">G2. Reducir la </w:t>
      </w:r>
      <w:r>
        <w:rPr>
          <w:b/>
        </w:rPr>
        <w:t>exposición material</w:t>
      </w:r>
      <w:r>
        <w:t xml:space="preserve"> a amenazas relevantes, priorizando en función de impacto de negocio y probabilidad de explotación.</w:t>
      </w:r>
      <w:r/>
      <w:r>
        <w:br/>
        <w:t xml:space="preserve">G3. Mejorar la </w:t>
      </w:r>
      <w:r>
        <w:rPr>
          <w:b/>
        </w:rPr>
        <w:t>capacidad de remediación y respuesta</w:t>
      </w:r>
      <w:r>
        <w:t>, reduciendo tiempos de mitigación de exposiciones críticas y altas.</w:t>
      </w:r>
      <w:r/>
      <w:r>
        <w:br/>
        <w:t xml:space="preserve">G4. Demostrar y sostener el </w:t>
      </w:r>
      <w:r>
        <w:rPr>
          <w:b/>
        </w:rPr>
        <w:t>cumplimiento regulatorio</w:t>
      </w:r>
      <w:r>
        <w:t xml:space="preserve"> (NIS2, ENS, GDPR, DORA, etc.) mediante evidencias continuas.</w:t>
      </w:r>
      <w:r/>
      <w:r>
        <w:br/>
        <w:t xml:space="preserve">G5. Fortalecer la </w:t>
      </w:r>
      <w:r>
        <w:rPr>
          <w:b/>
        </w:rPr>
        <w:t>gobernanza y la cooperación</w:t>
      </w:r>
      <w:r>
        <w:t xml:space="preserve"> público–privada en la gestión de la superficie de ataque.</w:t>
      </w:r>
    </w:p>
    <w:p>
      <w:pPr>
        <w:pStyle w:val="Heading2"/>
        <w:keepNext/>
        <w:keepLines/>
      </w:pPr>
      <w:r>
        <w:rPr>
          <w:color w:val="0066CC"/>
        </w:rPr>
        <w:t>3. Cadenas GQM por objetivo</w:t>
      </w:r>
    </w:p>
    <w:p>
      <w:pPr>
        <w:pStyle w:val="Heading3"/>
        <w:keepNext/>
        <w:keepLines/>
      </w:pPr>
      <w:r>
        <w:t>3.1. G1 – Visibilidad</w:t>
      </w:r>
    </w:p>
    <w:p>
      <w:r>
        <w:rPr>
          <w:b/>
        </w:rPr>
        <w:t>Goal (G1)</w:t>
      </w:r>
      <w:r/>
      <w:r>
        <w:br/>
        <w:t>Garantizar que el inventario de activos críticos de las entidades esenciales e importantes es completo, actualizado y útil para gestionar la superficie de ataque.</w:t>
      </w:r>
    </w:p>
    <w:p>
      <w:r>
        <w:rPr>
          <w:b/>
        </w:rPr>
        <w:t>Questions (ejemplos)</w:t>
      </w:r>
      <w:r/>
      <w:r>
        <w:br/>
        <w:t>- Q1.1: ¿En qué medida los activos críticos están registrados en plataformas CAASM u homólogas?</w:t>
      </w:r>
      <w:r/>
      <w:r>
        <w:br/>
        <w:t>- Q1.2: ¿Qué proporción de activos descubiertos permanece fuera de inventarios formales (shadow IT)?</w:t>
      </w:r>
      <w:r/>
      <w:r>
        <w:br/>
        <w:t>- Q1.3: ¿Qué cobertura existe por dominios (TI, OT, nube, APIs, identidades)?</w:t>
      </w:r>
    </w:p>
    <w:p>
      <w:r>
        <w:rPr>
          <w:b/>
        </w:rPr>
        <w:t>Metrics (ejemplos)</w:t>
      </w:r>
      <w:r/>
      <w:r>
        <w:br/>
        <w:t>- M1.1: Porcentaje de activos críticos descubiertos vs estimados.</w:t>
      </w:r>
      <w:r/>
      <w:r>
        <w:br/>
        <w:t>- M1.2: Ratio de activos “no inventariados” detectados por CAASM.</w:t>
      </w:r>
      <w:r/>
      <w:r>
        <w:br/>
        <w:t>- M1.3: Porcentaje de dominios tecnológicos cubiertos por al menos una fuente de inventario integrada.</w:t>
      </w:r>
    </w:p>
    <w:p>
      <w:pPr>
        <w:pStyle w:val="Heading3"/>
        <w:keepNext/>
        <w:keepLines/>
      </w:pPr>
      <w:r>
        <w:t>3.2. G2 – Exposición y riesgo</w:t>
      </w:r>
    </w:p>
    <w:p>
      <w:r>
        <w:rPr>
          <w:b/>
        </w:rPr>
        <w:t>Goal (G2)</w:t>
      </w:r>
      <w:r/>
      <w:r>
        <w:br/>
        <w:t>Reducir de forma medible la exposición a amenazas relevantes, priorizando por impacto de negocio y probabilidad de explotación.</w:t>
      </w:r>
    </w:p>
    <w:p>
      <w:r>
        <w:rPr>
          <w:b/>
        </w:rPr>
        <w:t>Questions</w:t>
      </w:r>
      <w:r/>
      <w:r>
        <w:br/>
        <w:t>- Q2.1: ¿Cuántos servicios críticos están expuestos a Internet sin controles mínimos?</w:t>
      </w:r>
      <w:r/>
      <w:r>
        <w:br/>
        <w:t>- Q2.2: ¿Qué porcentaje de exposiciones con alta probabilidad de explotación permanece abierto más allá de los plazos objetivos?</w:t>
      </w:r>
      <w:r/>
      <w:r>
        <w:br/>
        <w:t>- Q2.3: ¿Dónde se concentran las combinaciones “tóxicas” de criticidad, exposición y vulnerabilidades?</w:t>
      </w:r>
    </w:p>
    <w:p>
      <w:r>
        <w:rPr>
          <w:b/>
        </w:rPr>
        <w:t>Metrics</w:t>
      </w:r>
      <w:r/>
      <w:r>
        <w:br/>
        <w:t>- M2.1: Número y proporción de servicios expuestos sin controles mínimos.</w:t>
      </w:r>
      <w:r/>
      <w:r>
        <w:br/>
        <w:t>- M2.2: Porcentaje de vulnerabilidades/exposiciones con alta probabilidad de explotación pendientes de mitigación.</w:t>
      </w:r>
      <w:r/>
      <w:r>
        <w:br/>
        <w:t>- M2.3: Número de activos con combinaciones tóxicas (alta criticidad + exposición + vulnerabilidades graves).</w:t>
      </w:r>
    </w:p>
    <w:p>
      <w:pPr>
        <w:pStyle w:val="Heading3"/>
        <w:keepNext/>
        <w:keepLines/>
      </w:pPr>
      <w:r>
        <w:t>3.3. G3 – Remediación</w:t>
      </w:r>
    </w:p>
    <w:p>
      <w:r>
        <w:rPr>
          <w:b/>
        </w:rPr>
        <w:t>Goal (G3)</w:t>
      </w:r>
      <w:r/>
      <w:r>
        <w:br/>
        <w:t>Reducir los tiempos de mitigación y aumentar la tasa de cierre de exposiciones críticas dentro de los plazos definidos.</w:t>
      </w:r>
    </w:p>
    <w:p>
      <w:r>
        <w:rPr>
          <w:b/>
        </w:rPr>
        <w:t>Questions</w:t>
      </w:r>
      <w:r/>
      <w:r>
        <w:br/>
        <w:t>- Q3.1: ¿Cuál es el tiempo medio de mitigación de exposiciones críticas y altas?</w:t>
      </w:r>
      <w:r/>
      <w:r>
        <w:br/>
        <w:t>- Q3.2: ¿Qué porcentaje de exposiciones críticas se resuelven dentro de los SLA?</w:t>
      </w:r>
      <w:r/>
      <w:r>
        <w:br/>
        <w:t>- Q3.3: ¿Qué nivel de automatización existe en los flujos de remediación?</w:t>
      </w:r>
    </w:p>
    <w:p>
      <w:r>
        <w:rPr>
          <w:b/>
        </w:rPr>
        <w:t>Metrics</w:t>
      </w:r>
      <w:r/>
      <w:r>
        <w:br/>
        <w:t>- M3.1: MTTR de exposiciones críticas (días).</w:t>
      </w:r>
      <w:r/>
      <w:r>
        <w:br/>
        <w:t>- M3.2: % de exposiciones críticas cerradas en plazo.</w:t>
      </w:r>
      <w:r/>
      <w:r>
        <w:br/>
        <w:t>- M3.3: % de remediaciones realizadas mediante flujos automatizados.</w:t>
      </w:r>
    </w:p>
    <w:p>
      <w:pPr>
        <w:pStyle w:val="Heading3"/>
        <w:keepNext/>
        <w:keepLines/>
      </w:pPr>
      <w:r>
        <w:t>3.4. G4 – Cumplimiento</w:t>
      </w:r>
    </w:p>
    <w:p>
      <w:r>
        <w:rPr>
          <w:b/>
        </w:rPr>
        <w:t>Goal (G4)</w:t>
      </w:r>
      <w:r/>
      <w:r>
        <w:br/>
        <w:t>Demostrar cumplimiento sostenido mediante evidencias continuas derivadas de CAASM.</w:t>
      </w:r>
    </w:p>
    <w:p>
      <w:r>
        <w:rPr>
          <w:b/>
        </w:rPr>
        <w:t>Questions</w:t>
      </w:r>
      <w:r/>
      <w:r>
        <w:br/>
        <w:t>- Q4.1: ¿Qué porcentaje de controles ENS/NIS2 dispone de evidencias automáticas?</w:t>
      </w:r>
      <w:r/>
      <w:r>
        <w:br/>
        <w:t>- Q4.2: ¿Qué brecha existe entre exposiciones identificadas y no conformidades detectadas en auditorías?</w:t>
      </w:r>
    </w:p>
    <w:p>
      <w:r>
        <w:rPr>
          <w:b/>
        </w:rPr>
        <w:t>Metrics</w:t>
      </w:r>
      <w:r/>
      <w:r>
        <w:br/>
        <w:t>- M4.1: % de controles ENS/NIS2 con evidencia automática.</w:t>
      </w:r>
      <w:r/>
      <w:r>
        <w:br/>
        <w:t>- M4.2: Nº de no conformidades que ya habían sido señaladas por CAASM/ASM.</w:t>
      </w:r>
    </w:p>
    <w:p>
      <w:pPr>
        <w:pStyle w:val="Heading3"/>
        <w:keepNext/>
        <w:keepLines/>
      </w:pPr>
      <w:r>
        <w:t>3.5. G5 – Gobernanza y cooperación</w:t>
      </w:r>
    </w:p>
    <w:p>
      <w:r>
        <w:rPr>
          <w:b/>
        </w:rPr>
        <w:t>Goal (G5)</w:t>
      </w:r>
      <w:r/>
      <w:r>
        <w:br/>
        <w:t>Integrar CAASM en la gobernanza nacional y la cooperación público–privada.</w:t>
      </w:r>
    </w:p>
    <w:p>
      <w:r>
        <w:rPr>
          <w:b/>
        </w:rPr>
        <w:t>Questions</w:t>
      </w:r>
      <w:r/>
      <w:r>
        <w:br/>
        <w:t>- Q5.1: ¿Qué porcentaje de entidades esenciales comparte métricas de superficie de ataque con CSIRTs y autoridades?</w:t>
      </w:r>
      <w:r/>
      <w:r>
        <w:br/>
        <w:t>- Q5.2: ¿Existe un repositorio nacional de patrones de exposición recurrentes?</w:t>
      </w:r>
    </w:p>
    <w:p>
      <w:r>
        <w:rPr>
          <w:b/>
        </w:rPr>
        <w:t>Metrics</w:t>
      </w:r>
      <w:r/>
      <w:r>
        <w:br/>
        <w:t>- M5.1: % de entidades que comparten telemetría de superficie de ataque.</w:t>
      </w:r>
      <w:r/>
      <w:r>
        <w:br/>
        <w:t>- M5.2: Nº de patrones de exposición documentados y reutilizados a nivel nacional.</w:t>
      </w:r>
    </w:p>
    <w:p>
      <w:pPr>
        <w:pStyle w:val="Heading2"/>
        <w:keepNext/>
        <w:keepLines/>
      </w:pPr>
      <w:r>
        <w:rPr>
          <w:color w:val="0066CC"/>
        </w:rPr>
        <w:t>4. Inserción de PRAGMATIC en el ciclo GQM</w:t>
      </w:r>
    </w:p>
    <w:p>
      <w:r>
        <w:t>Para cada métrica identificada en las cadenas GQM se evalúa su calidad con los criterios PRAGMATIC:</w:t>
      </w:r>
    </w:p>
    <w:p>
      <w:pPr>
        <w:pStyle w:val="ListBullet"/>
        <w:keepLines w:val="1"/>
        <w:keepNext w:val="1"/>
        <w:widowControl w:val="1"/>
      </w:pPr>
      <w:r>
        <w:t xml:space="preserve">P – Predictivo: ¿Anticipa cambios futuros relevantes?  </w:t>
      </w:r>
    </w:p>
    <w:p>
      <w:pPr>
        <w:pStyle w:val="ListBullet"/>
        <w:keepLines w:val="1"/>
        <w:keepNext w:val="1"/>
        <w:widowControl w:val="1"/>
      </w:pPr>
      <w:r>
        <w:t xml:space="preserve">R – Relevante: ¿Está alineada con el objetivo (Goal) que pretende servir?  </w:t>
      </w:r>
    </w:p>
    <w:p>
      <w:pPr>
        <w:pStyle w:val="ListBullet"/>
        <w:keepLines w:val="1"/>
        <w:keepNext w:val="1"/>
        <w:widowControl w:val="1"/>
      </w:pPr>
      <w:r>
        <w:t xml:space="preserve">A – Accionable: ¿Conduce a decisiones claras o cambios concretos?  </w:t>
      </w:r>
    </w:p>
    <w:p>
      <w:pPr>
        <w:pStyle w:val="ListBullet"/>
        <w:keepLines w:val="1"/>
        <w:keepNext w:val="1"/>
        <w:widowControl w:val="1"/>
      </w:pPr>
      <w:r>
        <w:t xml:space="preserve">G – Genuino: ¿Refleja fielmente la realidad, sin artefactos o distorsiones?  </w:t>
      </w:r>
    </w:p>
    <w:p>
      <w:pPr>
        <w:pStyle w:val="ListBullet"/>
        <w:keepLines w:val="1"/>
        <w:keepNext w:val="1"/>
        <w:widowControl w:val="1"/>
      </w:pPr>
      <w:r>
        <w:t xml:space="preserve">M – Significativo (Meaningful): ¿Es comprensible y valiosa para sus audiencias?  </w:t>
      </w:r>
    </w:p>
    <w:p>
      <w:pPr>
        <w:pStyle w:val="ListBullet"/>
        <w:keepLines w:val="1"/>
        <w:keepNext w:val="1"/>
        <w:widowControl w:val="1"/>
      </w:pPr>
      <w:r>
        <w:t xml:space="preserve">P – Preciso: ¿Está definida de forma inequívoca, repetible y consistente?  </w:t>
      </w:r>
    </w:p>
    <w:p>
      <w:pPr>
        <w:pStyle w:val="ListBullet"/>
        <w:keepLines w:val="1"/>
        <w:keepNext w:val="1"/>
        <w:widowControl w:val="1"/>
      </w:pPr>
      <w:r>
        <w:t xml:space="preserve">T – Oportuno (Timely): ¿Está disponible con la frecuencia y latencia adecuadas?  </w:t>
      </w:r>
    </w:p>
    <w:p>
      <w:pPr>
        <w:pStyle w:val="ListBullet"/>
        <w:keepLines w:val="1"/>
        <w:keepNext w:val="1"/>
        <w:widowControl w:val="1"/>
      </w:pPr>
      <w:r>
        <w:t xml:space="preserve">I – Independiente: ¿No está excesivamente sesgada por incentivos o manipulable?  </w:t>
      </w:r>
    </w:p>
    <w:p>
      <w:pPr>
        <w:pStyle w:val="ListBullet"/>
        <w:keepLines w:val="1"/>
        <w:widowControl w:val="1"/>
      </w:pPr>
      <w:r>
        <w:t>C – Rentable (Cost–effective): ¿Es coste‑efectivo obtenerla y mantenerla?</w:t>
      </w:r>
    </w:p>
    <w:p>
      <w:r>
        <w:t>Cada métrica se puntúa, por ejemplo, en una escala de 1 (bajo) a 5 (alto) para cada criterio. Estas puntuaciones se pueden consolidar para seleccionar y priorizar las métricas más sólidas.</w:t>
      </w:r>
    </w:p>
    <w:p>
      <w:pPr>
        <w:pStyle w:val="Heading2"/>
        <w:keepNext/>
        <w:keepLines/>
      </w:pPr>
      <w:r>
        <w:rPr>
          <w:color w:val="0066CC"/>
        </w:rPr>
        <w:t>5. Ejemplo de aplicación integrada</w:t>
      </w:r>
    </w:p>
    <w:p>
      <w:r>
        <w:t>Tomemos M2.2: “Porcentaje de vulnerabilidades/exposiciones con alta probabilidad de explotación pendientes de mitigación”.</w:t>
      </w:r>
    </w:p>
    <w:p>
      <w:pPr>
        <w:pStyle w:val="ListBullet"/>
        <w:keepLines w:val="1"/>
        <w:keepNext w:val="1"/>
        <w:widowControl w:val="1"/>
      </w:pPr>
      <w:r>
        <w:t xml:space="preserve">G2: reducir exposición material a amenazas relevantes.  </w:t>
      </w:r>
    </w:p>
    <w:p>
      <w:pPr>
        <w:pStyle w:val="ListBullet"/>
        <w:keepLines w:val="1"/>
        <w:keepNext w:val="1"/>
        <w:widowControl w:val="1"/>
      </w:pPr>
      <w:r>
        <w:t xml:space="preserve">Q2.2: ¿Qué porcentaje de esas exposiciones permanece abierto más allá de lo deseable?  </w:t>
      </w:r>
    </w:p>
    <w:p>
      <w:pPr>
        <w:pStyle w:val="ListBullet"/>
        <w:keepLines w:val="1"/>
        <w:widowControl w:val="1"/>
      </w:pPr>
      <w:r>
        <w:t>M2.2: medido trimestralmente, por sector.</w:t>
      </w:r>
    </w:p>
    <w:p>
      <w:r>
        <w:t>Evaluación PRAGMATIC resumida:</w:t>
      </w:r>
    </w:p>
    <w:p>
      <w:pPr>
        <w:pStyle w:val="ListBullet"/>
        <w:keepLines w:val="1"/>
        <w:keepNext w:val="1"/>
        <w:widowControl w:val="1"/>
      </w:pPr>
      <w:r>
        <w:t xml:space="preserve">Predictivo: alto (una tendencia al alza anticipa incidentes graves).  </w:t>
      </w:r>
    </w:p>
    <w:p>
      <w:pPr>
        <w:pStyle w:val="ListBullet"/>
        <w:keepLines w:val="1"/>
        <w:keepNext w:val="1"/>
        <w:widowControl w:val="1"/>
      </w:pPr>
      <w:r>
        <w:t xml:space="preserve">Relevante: máximo (está en el corazón del objetivo G2).  </w:t>
      </w:r>
    </w:p>
    <w:p>
      <w:pPr>
        <w:pStyle w:val="ListBullet"/>
        <w:keepLines w:val="1"/>
        <w:keepNext w:val="1"/>
        <w:widowControl w:val="1"/>
      </w:pPr>
      <w:r>
        <w:t xml:space="preserve">Accionable: alto (lleva a reforzar recursos, procesos y priorización).  </w:t>
      </w:r>
    </w:p>
    <w:p>
      <w:pPr>
        <w:pStyle w:val="ListBullet"/>
        <w:keepLines w:val="1"/>
        <w:keepNext w:val="1"/>
        <w:widowControl w:val="1"/>
      </w:pPr>
      <w:r>
        <w:t xml:space="preserve">Genuino: medio–alto (depende de calidad de inventario y de modelos de probabilidad).  </w:t>
      </w:r>
    </w:p>
    <w:p>
      <w:pPr>
        <w:pStyle w:val="ListBullet"/>
        <w:keepLines w:val="1"/>
        <w:keepNext w:val="1"/>
        <w:widowControl w:val="1"/>
      </w:pPr>
      <w:r>
        <w:t xml:space="preserve">Significativo: alto (fácil de explicar a dirección).  </w:t>
      </w:r>
    </w:p>
    <w:p>
      <w:pPr>
        <w:pStyle w:val="ListBullet"/>
        <w:keepLines w:val="1"/>
        <w:keepNext w:val="1"/>
        <w:widowControl w:val="1"/>
      </w:pPr>
      <w:r>
        <w:t xml:space="preserve">Preciso: medio–alto (requiere definiciones claras de “alto riesgo” y “mitigado”).  </w:t>
      </w:r>
    </w:p>
    <w:p>
      <w:pPr>
        <w:pStyle w:val="ListBullet"/>
        <w:keepLines w:val="1"/>
        <w:keepNext w:val="1"/>
        <w:widowControl w:val="1"/>
      </w:pPr>
      <w:r>
        <w:t xml:space="preserve">Oportuno: variable, según capacidad de actualización.  </w:t>
      </w:r>
    </w:p>
    <w:p>
      <w:pPr>
        <w:pStyle w:val="ListBullet"/>
        <w:keepLines w:val="1"/>
        <w:keepNext w:val="1"/>
        <w:widowControl w:val="1"/>
      </w:pPr>
      <w:r>
        <w:t xml:space="preserve">Independiente: medio (puede verse afectada por incentivos de reporting).  </w:t>
      </w:r>
    </w:p>
    <w:p>
      <w:pPr>
        <w:pStyle w:val="ListBullet"/>
        <w:keepLines w:val="1"/>
        <w:widowControl w:val="1"/>
      </w:pPr>
      <w:r>
        <w:t>Rentable: razonable, si se apoya en herramientas ya desplegadas.</w:t>
      </w:r>
    </w:p>
    <w:p>
      <w:r>
        <w:t>Este tipo de análisis permite descartar métricas “bonitas” pero poco útiles, y concentrar la capacidad institucional en aquellas que realmente sirven al propósito nacional.</w:t>
      </w:r>
    </w:p>
    <w:p>
      <w:r>
        <w:t>Fin del documento.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