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Nota: Se propone una matriz tipo plantilla para aplicar a todas las métricas del marco CAASM. Puede adaptarse con escalas 1–5 u otras.</w:t>
      </w:r>
    </w:p>
    <w:p>
      <w:pPr>
        <w:pStyle w:val="Heading2"/>
        <w:keepNext/>
        <w:keepLines/>
      </w:pPr>
      <w:r>
        <w:rPr>
          <w:color w:val="0066CC"/>
        </w:rPr>
        <w:t>1. Escala recomendada</w:t>
      </w:r>
    </w:p>
    <w:p>
      <w:pPr>
        <w:pStyle w:val="ListBullet"/>
        <w:keepLines w:val="1"/>
        <w:keepNext w:val="1"/>
        <w:widowControl w:val="1"/>
      </w:pPr>
      <w:r>
        <w:t xml:space="preserve">1: Muy bajo  </w:t>
      </w:r>
    </w:p>
    <w:p>
      <w:pPr>
        <w:pStyle w:val="ListBullet"/>
        <w:keepLines w:val="1"/>
        <w:keepNext w:val="1"/>
        <w:widowControl w:val="1"/>
      </w:pPr>
      <w:r>
        <w:t xml:space="preserve">2: Bajo  </w:t>
      </w:r>
    </w:p>
    <w:p>
      <w:pPr>
        <w:pStyle w:val="ListBullet"/>
        <w:keepLines w:val="1"/>
        <w:keepNext w:val="1"/>
        <w:widowControl w:val="1"/>
      </w:pPr>
      <w:r>
        <w:t xml:space="preserve">3: Medio  </w:t>
      </w:r>
    </w:p>
    <w:p>
      <w:pPr>
        <w:pStyle w:val="ListBullet"/>
        <w:keepLines w:val="1"/>
        <w:keepNext w:val="1"/>
        <w:widowControl w:val="1"/>
      </w:pPr>
      <w:r>
        <w:t xml:space="preserve">4: Alto  </w:t>
      </w:r>
    </w:p>
    <w:p>
      <w:pPr>
        <w:pStyle w:val="ListBullet"/>
        <w:keepLines w:val="1"/>
        <w:widowControl w:val="1"/>
      </w:pPr>
      <w:r>
        <w:t>5: Muy alto</w:t>
      </w:r>
    </w:p>
    <w:p>
      <w:pPr>
        <w:pStyle w:val="Heading2"/>
        <w:keepNext/>
        <w:keepLines/>
      </w:pPr>
      <w:r>
        <w:rPr>
          <w:color w:val="0066CC"/>
        </w:rPr>
        <w:t>2. Métricas de visibilidad (G1)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 (Preciso)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activos críticos descubiertos vs estimados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estructural de visibilidad; su mejora es lenta pero esencial.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Ratio de activos no inventariados detectados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útil como “termómetro” de shadow IT.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M1.3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dominios con cobertura de inventario integrada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Ayuda a identificar brechas por tipo de activo (OT, nube, APIs).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Métricas de exposición y riesgo (G2)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Nº/ % servicios expuestos sin controles mínimos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vinculada a incidentes reales; prioritaria para planes nacionales.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exposiciones de alta probabilidad sin mitigar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Refuerza enfoque basado en probabilidad de explotación.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M2.3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Nº activos con combinaciones tóxicas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Requiere buena clasificación de criticidad de negocio.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Métricas de remediación (G3)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 exposiciones críticas (días)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central de resiliencia; muy bien entendida por la dirección.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exposiciones críticas cerradas en plazo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Complementa al MTTR con visión de cumplimiento de SLA.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M3.3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remediaciones automatizadas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Indica madurez operativa y escalabilidad.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Métricas de cumplimiento (G4)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controles ENS/NIS2 con evidencia automática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Fundamental para supervisión continua y reducción de carga de auditoría.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M4.2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Nº no conformidades ya señaladas por CAASM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Mide brecha entre conocimiento y acción.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Métricas de gobernanza (G5)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entidades que comparten telemetría CAASM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Clave para modelos de supervisión colaborativa.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M5.2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Nº patrones de exposición documentados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Relevante para aprendizaje colectivo y prevención.</w:t>
            </w:r>
          </w:p>
        </w:tc>
      </w:tr>
    </w:tbl>
    <w:p/>
    <w:p>
      <w:r>
        <w:t>Fin de la matriz.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