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GQM de Indicadores CAASM a Requisitos Normativos</w:t>
      </w:r>
    </w:p>
    <w:p>
      <w:r>
        <w:t>Tabla orientativa que conecta objetivos (G), preguntas (Q) y métricas (M) con referencias normativas relevantes (NIS2, ENS, ISO 27001, NIST, etc.).</w:t>
      </w:r>
    </w:p>
    <w:p>
      <w:pPr>
        <w:pStyle w:val="Heading2"/>
        <w:keepNext/>
        <w:keepLines/>
      </w:pPr>
      <w:r>
        <w:rPr>
          <w:color w:val="0066CC"/>
        </w:rPr>
        <w:t>Tabla de mapeo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Goal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GQM asociada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(alto nivel)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(categoría)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 (Anexo A)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/ SP 800-53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G1 – Visibilidad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M1.1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activos críticos descubiertos vs estimados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Q1.1: ¿En qué medida están registrados los activos críticos?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Gestión de activos y ciberhigiene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OP.1, OP.2 (Inventario)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A.5.9, A.8.1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ID.AM-01/02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G1 – Visibilidad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Ratio activos no inventariados detectados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Q1.2: ¿Qué proporción de shadow IT existe?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de gestión de riesgos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OP.1.1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A.5.9, A.8.1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ID.AM-03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G1 – Visibilidad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M1.3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dominios con inventario integrado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Q1.3: ¿Qué cobertura existe por dominios?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Controles proporcionales a la criticidad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A.5.9, A.8.1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ID.AM-04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G2 – Exposición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M2.1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Nº/% servicios expuestos sin controles mínimos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Q2.1: ¿Cuántos servicios críticos están expuestos sin protección adecuada?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Seguridad de redes y sistemas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MP (protección perimetral)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A.8.20, A.8.24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PR.PT-02/03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G2 – Exposición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M2.2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exposiciones de alta probabilidad no mitigadas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Q2.2: ¿Qué proporción de exposiciones de alto riesgo sigue abierta?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Gestión de riesgos basada en amenazas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A.5.4, A.8.8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ID.RA-01/02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G2 – Exposición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M2.3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Nº activos con combinaciones tóxicas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Q2.3: ¿Dónde se concentran estas combinaciones críticas?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Protección de servicios esenciales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A.5.4, A.8.1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ID.RA, PR.IP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G3 – Remediación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M3.1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MTTR exposiciones críticas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Q3.1: ¿Cuál es el tiempo medio de mitigación?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Gestión de incidentes y continuidad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A.5.29, A.5.30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RS.MI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G3 – Remediación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M3.2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exposiciones críticas cerradas en plazo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Q3.2: ¿Qué porcentaje se resuelve dentro de SLA?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técnicas y organizativas adecuadas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RE, OP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A.5.37, A.8.8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RS.MI, PR.IP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G3 – Remediación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M3.3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remediaciones automatizadas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Q3.3: ¿Qué nivel de automatización existe?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Modernización de capacidades técnicas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OP, MP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A.5.23, A.5.36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PR.IP-12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G4 – Cumplimiento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M4.1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controles ENS/NIS2 con evidencia automática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Q4.1: ¿Qué parte de los controles dispone de evidencia continua?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Obligación de demostrar cumplimiento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Gobierno ENS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A.5.1, A.5.37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GV, ID.GV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G4 – Cumplimiento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Nº no conformidades ya señaladas por CAASM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Q4.2: ¿Qué brecha hay entre exposición conocida y no conformidades?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Supervisión continua y auditoría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Gobierno ENS, OP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A.10.1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ID.IM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G5 – Gobernanza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M5.1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entidades que comparten telemetría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Q5.1: ¿Qué entidades colaboran activamente con CSIRTs?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Cooperación entre entidades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(cooperación)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COOP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RS.CO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G5 – Gobernanza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M5.2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Nº patrones de exposición documentados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Q5.2: ¿Existe un repositorio nacional de patrones?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Mejora continua y análisis de amenazas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NIS2, ENISA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A.10.1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ID.IM, DE</w:t>
            </w:r>
          </w:p>
        </w:tc>
      </w:tr>
    </w:tbl>
    <w:p/>
    <w:p>
      <w:r>
        <w:t>Fin del mapeo.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