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– Cálculo de IGM y Evaluación PRAGMATIC</w:t>
      </w:r>
    </w:p>
    <w:p>
      <w:r>
        <w:t>Este documento describe una plantilla Excel para:</w:t>
      </w:r>
    </w:p>
    <w:p>
      <w:pPr>
        <w:pStyle w:val="ListNumber"/>
        <w:keepLines w:val="1"/>
        <w:keepNext w:val="1"/>
        <w:widowControl w:val="1"/>
      </w:pPr>
      <w:r>
        <w:t xml:space="preserve">Calcular un Índice Global de Madurez (IGM) basado en las métricas GQM CAASM.  </w:t>
      </w:r>
    </w:p>
    <w:p>
      <w:pPr>
        <w:pStyle w:val="ListNumber"/>
        <w:keepLines w:val="1"/>
        <w:widowControl w:val="1"/>
      </w:pPr>
      <w:r>
        <w:t>Registrar las puntuaciones PRAGMATIC de cada métrica.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Se recomiendan al menos cinco hojas:</w:t>
      </w:r>
    </w:p>
    <w:p>
      <w:pPr>
        <w:pStyle w:val="ListNumber"/>
        <w:keepLines w:val="1"/>
        <w:keepNext w:val="1"/>
        <w:widowControl w:val="1"/>
      </w:pPr>
      <w:r>
        <w:t xml:space="preserve">Métricas – Valores observados de M1.x, M2.x, etc., por organización o sector.  </w:t>
      </w:r>
    </w:p>
    <w:p>
      <w:pPr>
        <w:pStyle w:val="ListNumber"/>
        <w:keepLines w:val="1"/>
        <w:keepNext w:val="1"/>
        <w:widowControl w:val="1"/>
      </w:pPr>
      <w:r>
        <w:t xml:space="preserve">Índices – Cálculo de índices parciales y del IGM.  </w:t>
      </w:r>
    </w:p>
    <w:p>
      <w:pPr>
        <w:pStyle w:val="ListNumber"/>
        <w:keepLines w:val="1"/>
        <w:keepNext w:val="1"/>
        <w:widowControl w:val="1"/>
      </w:pPr>
      <w:r>
        <w:t xml:space="preserve">PRAGMATIC – Puntuaciones de calidad por métrica.  </w:t>
      </w:r>
    </w:p>
    <w:p>
      <w:pPr>
        <w:pStyle w:val="ListNumber"/>
        <w:keepLines w:val="1"/>
        <w:keepNext w:val="1"/>
        <w:widowControl w:val="1"/>
      </w:pPr>
      <w:r>
        <w:t xml:space="preserve">ROI – Estimaciones de costes y beneficios.  </w:t>
      </w:r>
    </w:p>
    <w:p>
      <w:pPr>
        <w:pStyle w:val="ListNumber"/>
        <w:keepLines w:val="1"/>
        <w:widowControl w:val="1"/>
      </w:pPr>
      <w:r>
        <w:t>Parámetros – Pesos, escalas y definiciones.</w:t>
      </w:r>
    </w:p>
    <w:p>
      <w:pPr>
        <w:pStyle w:val="Heading2"/>
        <w:keepNext/>
        <w:keepLines/>
      </w:pPr>
      <w:r>
        <w:rPr>
          <w:color w:val="0066CC"/>
        </w:rPr>
        <w:t>2. Hoja “Métricas”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 Organización / Sector  </w:t>
      </w:r>
    </w:p>
    <w:p>
      <w:pPr>
        <w:pStyle w:val="ListBullet"/>
        <w:keepLines w:val="1"/>
        <w:keepNext w:val="1"/>
        <w:widowControl w:val="1"/>
      </w:pPr>
      <w:r>
        <w:t xml:space="preserve">B: M1.1 – % activos críticos descubiertos vs estimados  </w:t>
      </w:r>
    </w:p>
    <w:p>
      <w:pPr>
        <w:pStyle w:val="ListBullet"/>
        <w:keepLines w:val="1"/>
        <w:keepNext w:val="1"/>
        <w:widowControl w:val="1"/>
      </w:pPr>
      <w:r>
        <w:t xml:space="preserve">C: M1.2 – Ratio activos no inventariados  </w:t>
      </w:r>
    </w:p>
    <w:p>
      <w:pPr>
        <w:pStyle w:val="ListBullet"/>
        <w:keepLines w:val="1"/>
        <w:keepNext w:val="1"/>
        <w:widowControl w:val="1"/>
      </w:pPr>
      <w:r>
        <w:t xml:space="preserve">D: M1.3 – % dominios con inventario integrado  </w:t>
      </w:r>
    </w:p>
    <w:p>
      <w:pPr>
        <w:pStyle w:val="ListBullet"/>
        <w:keepLines w:val="1"/>
        <w:keepNext w:val="1"/>
        <w:widowControl w:val="1"/>
      </w:pPr>
      <w:r>
        <w:t xml:space="preserve">E: M2.1 – Nº/% servicios expuestos sin controles mínimos  </w:t>
      </w:r>
    </w:p>
    <w:p>
      <w:pPr>
        <w:pStyle w:val="ListBullet"/>
        <w:keepLines w:val="1"/>
        <w:keepNext w:val="1"/>
        <w:widowControl w:val="1"/>
      </w:pPr>
      <w:r>
        <w:t xml:space="preserve">F: M2.2 – % exposiciones alta probabilidad no mitigadas  </w:t>
      </w:r>
    </w:p>
    <w:p>
      <w:pPr>
        <w:pStyle w:val="ListBullet"/>
        <w:keepLines w:val="1"/>
        <w:keepNext w:val="1"/>
        <w:widowControl w:val="1"/>
      </w:pPr>
      <w:r>
        <w:t xml:space="preserve">G: M2.3 – Nº activos con combinaciones tóxicas  </w:t>
      </w:r>
    </w:p>
    <w:p>
      <w:pPr>
        <w:pStyle w:val="ListBullet"/>
        <w:keepLines w:val="1"/>
        <w:keepNext w:val="1"/>
        <w:widowControl w:val="1"/>
      </w:pPr>
      <w:r>
        <w:t xml:space="preserve">H: M3.1 – MTTR exposiciones críticas (días)  </w:t>
      </w:r>
    </w:p>
    <w:p>
      <w:pPr>
        <w:pStyle w:val="ListBullet"/>
        <w:keepLines w:val="1"/>
        <w:keepNext w:val="1"/>
        <w:widowControl w:val="1"/>
      </w:pPr>
      <w:r>
        <w:t xml:space="preserve">I: M3.2 – % exposiciones críticas cerradas en plazo  </w:t>
      </w:r>
    </w:p>
    <w:p>
      <w:pPr>
        <w:pStyle w:val="ListBullet"/>
        <w:keepLines w:val="1"/>
        <w:keepNext w:val="1"/>
        <w:widowControl w:val="1"/>
      </w:pPr>
      <w:r>
        <w:t xml:space="preserve">J: M3.3 – % remediaciones automatizadas  </w:t>
      </w:r>
    </w:p>
    <w:p>
      <w:pPr>
        <w:pStyle w:val="ListBullet"/>
        <w:keepLines w:val="1"/>
        <w:keepNext w:val="1"/>
        <w:widowControl w:val="1"/>
      </w:pPr>
      <w:r>
        <w:t xml:space="preserve">K: M4.1 – % controles ENS/NIS2 con evidencia automática  </w:t>
      </w:r>
    </w:p>
    <w:p>
      <w:pPr>
        <w:pStyle w:val="ListBullet"/>
        <w:keepLines w:val="1"/>
        <w:keepNext w:val="1"/>
        <w:widowControl w:val="1"/>
      </w:pPr>
      <w:r>
        <w:t xml:space="preserve">L: M4.2 – Nº no conformidades ya señaladas  </w:t>
      </w:r>
    </w:p>
    <w:p>
      <w:pPr>
        <w:pStyle w:val="ListBullet"/>
        <w:keepLines w:val="1"/>
        <w:keepNext w:val="1"/>
        <w:widowControl w:val="1"/>
      </w:pPr>
      <w:r>
        <w:t xml:space="preserve">M: M5.1 – % entidades que comparten telemetría  </w:t>
      </w:r>
    </w:p>
    <w:p>
      <w:pPr>
        <w:pStyle w:val="ListBullet"/>
        <w:keepLines w:val="1"/>
        <w:widowControl w:val="1"/>
      </w:pPr>
      <w:r>
        <w:t>N: M5.2 – Nº patrones de exposición documentados</w:t>
      </w:r>
    </w:p>
    <w:p>
      <w:pPr>
        <w:pStyle w:val="Heading2"/>
        <w:keepNext/>
        <w:keepLines/>
      </w:pPr>
      <w:r>
        <w:rPr>
          <w:color w:val="0066CC"/>
        </w:rPr>
        <w:t>3. Hoja “Índices”</w:t>
      </w:r>
    </w:p>
    <w:p>
      <w:pPr>
        <w:pStyle w:val="Heading3"/>
        <w:keepNext/>
        <w:keepLines/>
      </w:pPr>
      <w:r>
        <w:t>3.1 Cálculo de índices parciales</w:t>
      </w:r>
    </w:p>
    <w:p>
      <w:r>
        <w:t>Para cada fila (organización/sector), se calculan índices de 0–100. Se pueden normalizar o invertir según convenga (por ejemplo, menos M2.1 es mejor, por lo que se crea una versión “invertida” como indicador de salud).</w:t>
      </w:r>
    </w:p>
    <w:p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IVA (Visibilidad): función de M1.1, M1.2 (invertida), M1.3.  </w:t>
      </w:r>
    </w:p>
    <w:p>
      <w:pPr>
        <w:pStyle w:val="ListBullet"/>
        <w:keepLines w:val="1"/>
        <w:keepNext w:val="1"/>
        <w:widowControl w:val="1"/>
      </w:pPr>
      <w:r>
        <w:t xml:space="preserve">IEP (Exposición): función de M2.1 (invertida), M2.2 (invertida), M2.3 (invertida).  </w:t>
      </w:r>
    </w:p>
    <w:p>
      <w:pPr>
        <w:pStyle w:val="ListBullet"/>
        <w:keepLines w:val="1"/>
        <w:keepNext w:val="1"/>
        <w:widowControl w:val="1"/>
      </w:pPr>
      <w:r>
        <w:t xml:space="preserve">IRA (Remediación): función de M3.1 (invertida), M3.2, M3.3.  </w:t>
      </w:r>
    </w:p>
    <w:p>
      <w:pPr>
        <w:pStyle w:val="ListBullet"/>
        <w:keepLines w:val="1"/>
        <w:keepNext w:val="1"/>
        <w:widowControl w:val="1"/>
      </w:pPr>
      <w:r>
        <w:t xml:space="preserve">ICR (Cumplimiento): función de M4.1, M4.2 (invertida).  </w:t>
      </w:r>
    </w:p>
    <w:p>
      <w:pPr>
        <w:pStyle w:val="ListBullet"/>
        <w:keepLines w:val="1"/>
        <w:widowControl w:val="1"/>
      </w:pPr>
      <w:r>
        <w:t>IGC (Gobernanza): función de M5.1, M5.2.</w:t>
      </w:r>
    </w:p>
    <w:p>
      <w:r>
        <w:t xml:space="preserve">Se recomienda documentar la fórmula en </w:t>
      </w:r>
      <w:r>
        <w:rPr>
          <w:rFonts w:ascii="Courier New" w:hAnsi="Courier New"/>
          <w:sz w:val="18"/>
        </w:rPr>
        <w:t>Parámetros</w:t>
      </w:r>
      <w:r>
        <w:t>, por ejemplo:</w:t>
      </w:r>
    </w:p>
    <w:p>
      <w:pPr>
        <w:pStyle w:val="ListBullet"/>
        <w:keepLines w:val="1"/>
        <w:widowControl w:val="1"/>
      </w:pPr>
      <w:r>
        <w:t>IVA = PROMEDIO( Normalizar(M1.1), 100 - Normalizar(M1.2), Normalizar(M1.3) ).</w:t>
      </w:r>
    </w:p>
    <w:p>
      <w:pPr>
        <w:pStyle w:val="Heading3"/>
        <w:keepNext/>
        <w:keepLines/>
      </w:pPr>
      <w:r>
        <w:t>3.2 Cálculo del IGM</w:t>
      </w:r>
    </w:p>
    <w:p>
      <w:r>
        <w:t xml:space="preserve">Definir pesos en </w:t>
      </w:r>
      <w:r>
        <w:rPr>
          <w:rFonts w:ascii="Courier New" w:hAnsi="Courier New"/>
          <w:sz w:val="18"/>
        </w:rPr>
        <w:t>Parámetros</w:t>
      </w:r>
      <w:r>
        <w:t xml:space="preserve"> (por ejemplo):</w:t>
      </w:r>
    </w:p>
    <w:p>
      <w:pPr>
        <w:pStyle w:val="ListBullet"/>
        <w:keepLines w:val="1"/>
        <w:keepNext w:val="1"/>
        <w:widowControl w:val="1"/>
      </w:pPr>
      <w:r>
        <w:t xml:space="preserve">Peso_IVA = 0,20  </w:t>
      </w:r>
    </w:p>
    <w:p>
      <w:pPr>
        <w:pStyle w:val="ListBullet"/>
        <w:keepLines w:val="1"/>
        <w:keepNext w:val="1"/>
        <w:widowControl w:val="1"/>
      </w:pPr>
      <w:r>
        <w:t xml:space="preserve">Peso_IEP = 0,25  </w:t>
      </w:r>
    </w:p>
    <w:p>
      <w:pPr>
        <w:pStyle w:val="ListBullet"/>
        <w:keepLines w:val="1"/>
        <w:keepNext w:val="1"/>
        <w:widowControl w:val="1"/>
      </w:pPr>
      <w:r>
        <w:t xml:space="preserve">Peso_IRA = 0,25  </w:t>
      </w:r>
    </w:p>
    <w:p>
      <w:pPr>
        <w:pStyle w:val="ListBullet"/>
        <w:keepLines w:val="1"/>
        <w:keepNext w:val="1"/>
        <w:widowControl w:val="1"/>
      </w:pPr>
      <w:r>
        <w:t xml:space="preserve">Peso_ICR = 0,15  </w:t>
      </w:r>
    </w:p>
    <w:p>
      <w:pPr>
        <w:pStyle w:val="ListBullet"/>
        <w:keepLines w:val="1"/>
        <w:widowControl w:val="1"/>
      </w:pPr>
      <w:r>
        <w:t xml:space="preserve">Peso_IGC = 0,15  </w:t>
      </w:r>
    </w:p>
    <w:p>
      <w:r>
        <w:t>IGM = IVA</w:t>
      </w:r>
      <w:r>
        <w:rPr>
          <w:i/>
        </w:rPr>
        <w:t>Peso_IVA + IEP</w:t>
      </w:r>
      <w:r>
        <w:t>Peso_IEP + IRA</w:t>
      </w:r>
      <w:r>
        <w:rPr>
          <w:i/>
        </w:rPr>
        <w:t>Peso_IRA + ICR</w:t>
      </w:r>
      <w:r>
        <w:t>Peso_ICR + IGC*Peso_IGC.</w:t>
      </w:r>
    </w:p>
    <w:p>
      <w:pPr>
        <w:pStyle w:val="Heading2"/>
        <w:keepNext/>
        <w:keepLines/>
      </w:pPr>
      <w:r>
        <w:rPr>
          <w:color w:val="0066CC"/>
        </w:rPr>
        <w:t>4. Hoja “PRAGMATIC”</w:t>
      </w:r>
    </w:p>
    <w:p>
      <w:r>
        <w:t>Filas: una por métrica (M1.1, M1.2, …, M5.2).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Métrica  </w:t>
      </w:r>
    </w:p>
    <w:p>
      <w:pPr>
        <w:pStyle w:val="ListBullet"/>
        <w:keepLines w:val="1"/>
        <w:keepNext w:val="1"/>
        <w:widowControl w:val="1"/>
      </w:pPr>
      <w:r>
        <w:t xml:space="preserve">B: Descripción  </w:t>
      </w:r>
    </w:p>
    <w:p>
      <w:pPr>
        <w:pStyle w:val="ListBullet"/>
        <w:keepLines w:val="1"/>
        <w:keepNext w:val="1"/>
        <w:widowControl w:val="1"/>
      </w:pPr>
      <w:r>
        <w:t xml:space="preserve">C: P – Predictivo (1–5)  </w:t>
      </w:r>
    </w:p>
    <w:p>
      <w:pPr>
        <w:pStyle w:val="ListBullet"/>
        <w:keepLines w:val="1"/>
        <w:keepNext w:val="1"/>
        <w:widowControl w:val="1"/>
      </w:pPr>
      <w:r>
        <w:t xml:space="preserve">D: R – Relevante (1–5)  </w:t>
      </w:r>
    </w:p>
    <w:p>
      <w:pPr>
        <w:pStyle w:val="ListBullet"/>
        <w:keepLines w:val="1"/>
        <w:keepNext w:val="1"/>
        <w:widowControl w:val="1"/>
      </w:pPr>
      <w:r>
        <w:t xml:space="preserve">E: A – Accionable (1–5)  </w:t>
      </w:r>
    </w:p>
    <w:p>
      <w:pPr>
        <w:pStyle w:val="ListBullet"/>
        <w:keepLines w:val="1"/>
        <w:keepNext w:val="1"/>
        <w:widowControl w:val="1"/>
      </w:pPr>
      <w:r>
        <w:t xml:space="preserve">F: G – Genuino (1–5)  </w:t>
      </w:r>
    </w:p>
    <w:p>
      <w:pPr>
        <w:pStyle w:val="ListBullet"/>
        <w:keepLines w:val="1"/>
        <w:keepNext w:val="1"/>
        <w:widowControl w:val="1"/>
      </w:pPr>
      <w:r>
        <w:t xml:space="preserve">G: M – Significativo (1–5)  </w:t>
      </w:r>
    </w:p>
    <w:p>
      <w:pPr>
        <w:pStyle w:val="ListBullet"/>
        <w:keepLines w:val="1"/>
        <w:keepNext w:val="1"/>
        <w:widowControl w:val="1"/>
      </w:pPr>
      <w:r>
        <w:t xml:space="preserve">H: P2 – Preciso (1–5)  </w:t>
      </w:r>
    </w:p>
    <w:p>
      <w:pPr>
        <w:pStyle w:val="ListBullet"/>
        <w:keepLines w:val="1"/>
        <w:keepNext w:val="1"/>
        <w:widowControl w:val="1"/>
      </w:pPr>
      <w:r>
        <w:t xml:space="preserve">I: T – Oportuno (1–5)  </w:t>
      </w:r>
    </w:p>
    <w:p>
      <w:pPr>
        <w:pStyle w:val="ListBullet"/>
        <w:keepLines w:val="1"/>
        <w:keepNext w:val="1"/>
        <w:widowControl w:val="1"/>
      </w:pPr>
      <w:r>
        <w:t xml:space="preserve">J: I2 – Independiente (1–5)  </w:t>
      </w:r>
    </w:p>
    <w:p>
      <w:pPr>
        <w:pStyle w:val="ListBullet"/>
        <w:keepLines w:val="1"/>
        <w:keepNext w:val="1"/>
        <w:widowControl w:val="1"/>
      </w:pPr>
      <w:r>
        <w:t xml:space="preserve">K: C – Rentable (1–5)  </w:t>
      </w:r>
    </w:p>
    <w:p>
      <w:pPr>
        <w:pStyle w:val="ListBullet"/>
        <w:keepLines w:val="1"/>
        <w:widowControl w:val="1"/>
      </w:pPr>
      <w:r>
        <w:t>L: PRAGMATIC_Score = PROMEDIO(C:K)</w:t>
      </w:r>
    </w:p>
    <w:p>
      <w:r>
        <w:t>Opcional: columna M para comentarios cualitativos.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r>
        <w:t>Similar a la plantilla anterior de ROI CAASM, se recomienda:</w:t>
      </w:r>
    </w:p>
    <w:p>
      <w:pPr>
        <w:pStyle w:val="ListBullet"/>
        <w:keepLines w:val="1"/>
        <w:keepNext w:val="1"/>
        <w:widowControl w:val="1"/>
      </w:pPr>
      <w:r>
        <w:t xml:space="preserve">Costes: licencias, integración, operación.  </w:t>
      </w:r>
    </w:p>
    <w:p>
      <w:pPr>
        <w:pStyle w:val="ListBullet"/>
        <w:keepLines w:val="1"/>
        <w:keepNext w:val="1"/>
        <w:widowControl w:val="1"/>
      </w:pPr>
      <w:r>
        <w:t xml:space="preserve">Beneficios: reducción de incidentes, ahorro en auditorías, otros.  </w:t>
      </w:r>
    </w:p>
    <w:p>
      <w:pPr>
        <w:pStyle w:val="ListBullet"/>
        <w:keepLines w:val="1"/>
        <w:widowControl w:val="1"/>
      </w:pPr>
      <w:r>
        <w:t>ROI simple: (Beneficios – Costes) / Costes.</w:t>
      </w:r>
    </w:p>
    <w:p>
      <w:r>
        <w:t>Se puede relacionar el IGM con el ROI para observar tendencias (por ejemplo, si mayor madurez se correlaciona con menor frecuencia de incidentes graves).</w:t>
      </w:r>
    </w:p>
    <w:p>
      <w:pPr>
        <w:pStyle w:val="Heading2"/>
        <w:keepNext/>
        <w:keepLines/>
      </w:pPr>
      <w:r>
        <w:rPr>
          <w:color w:val="0066CC"/>
        </w:rPr>
        <w:t>6. Visualizaciones recomendadas</w:t>
      </w:r>
    </w:p>
    <w:p>
      <w:pPr>
        <w:pStyle w:val="ListBullet"/>
        <w:keepLines w:val="1"/>
        <w:keepNext w:val="1"/>
        <w:widowControl w:val="1"/>
      </w:pPr>
      <w:r>
        <w:t xml:space="preserve">Gráfico de barras de IGM por organización o sector.  </w:t>
      </w:r>
    </w:p>
    <w:p>
      <w:pPr>
        <w:pStyle w:val="ListBullet"/>
        <w:keepLines w:val="1"/>
        <w:keepNext w:val="1"/>
        <w:widowControl w:val="1"/>
      </w:pPr>
      <w:r>
        <w:t xml:space="preserve">Mapa de calor de índices parciales (IVA, IEP, IRA, ICR, IGC).  </w:t>
      </w:r>
    </w:p>
    <w:p>
      <w:pPr>
        <w:pStyle w:val="ListBullet"/>
        <w:keepLines w:val="1"/>
        <w:keepNext w:val="1"/>
        <w:widowControl w:val="1"/>
      </w:pPr>
      <w:r>
        <w:t xml:space="preserve">Gráfico de burbujas IGM vs ROI, con tamaño de burbuja representando M2.1 o M3.1.  </w:t>
      </w:r>
    </w:p>
    <w:p>
      <w:pPr>
        <w:pStyle w:val="ListBullet"/>
        <w:keepLines w:val="1"/>
        <w:widowControl w:val="1"/>
      </w:pPr>
      <w:r>
        <w:t>Tabla ordenada por PRAGMATIC_Score para priorizar métricas nacionales.</w:t>
      </w:r>
    </w:p>
    <w:p>
      <w:r>
        <w:t>Fin de la plantilla.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