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– GQM + PRAGMATIC para CAASM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Indicadores Nacionales CAASM – Marco GQM + PRAGMATIC </w:t>
      </w:r>
    </w:p>
    <w:p>
      <w:pPr>
        <w:pStyle w:val="ListBullet"/>
        <w:keepLines w:val="1"/>
        <w:keepNext w:val="1"/>
        <w:widowControl w:val="1"/>
      </w:pPr>
      <w:r>
        <w:t xml:space="preserve">Subtítulo: De los objetivos estratégicos a las métricas operativas  </w:t>
      </w:r>
    </w:p>
    <w:p>
      <w:pPr>
        <w:pStyle w:val="ListBullet"/>
        <w:keepLines w:val="1"/>
        <w:widowControl w:val="1"/>
      </w:pPr>
      <w:r>
        <w:t>Datos: organismo responsable, fecha, ámbito.</w:t>
      </w:r>
    </w:p>
    <w:p>
      <w:pPr>
        <w:pStyle w:val="Heading2"/>
        <w:keepNext/>
        <w:keepLines/>
      </w:pPr>
      <w:r>
        <w:rPr>
          <w:color w:val="0066CC"/>
        </w:rPr>
        <w:t>Diapositiva 2 – Por qué este marco</w:t>
      </w:r>
    </w:p>
    <w:p>
      <w:pPr>
        <w:pStyle w:val="ListBullet"/>
        <w:keepLines w:val="1"/>
        <w:keepNext w:val="1"/>
        <w:widowControl w:val="1"/>
      </w:pPr>
      <w:r>
        <w:t xml:space="preserve">Necesidad de vincular objetivos nacionales con datos técnicos.  </w:t>
      </w:r>
    </w:p>
    <w:p>
      <w:pPr>
        <w:pStyle w:val="ListBullet"/>
        <w:keepLines w:val="1"/>
        <w:keepNext w:val="1"/>
        <w:widowControl w:val="1"/>
      </w:pPr>
      <w:r>
        <w:t xml:space="preserve">Evitar dashboards decorativos y métricas sin propósito.  </w:t>
      </w:r>
    </w:p>
    <w:p>
      <w:pPr>
        <w:pStyle w:val="ListBullet"/>
        <w:keepLines w:val="1"/>
        <w:widowControl w:val="1"/>
      </w:pPr>
      <w:r>
        <w:t>Asegurar trazabilidad: Objetivo → Pregunta → Métrica.</w:t>
      </w:r>
    </w:p>
    <w:p>
      <w:pPr>
        <w:pStyle w:val="Heading2"/>
        <w:keepNext/>
        <w:keepLines/>
      </w:pPr>
      <w:r>
        <w:rPr>
          <w:color w:val="0066CC"/>
        </w:rPr>
        <w:t>Diapositiva 3 – Resumen de GQM</w:t>
      </w:r>
    </w:p>
    <w:p>
      <w:pPr>
        <w:pStyle w:val="ListBullet"/>
        <w:keepLines w:val="1"/>
        <w:keepNext w:val="1"/>
        <w:widowControl w:val="1"/>
      </w:pPr>
      <w:r>
        <w:t xml:space="preserve">Explicación breve de Goal–Question–Metric.  </w:t>
      </w:r>
    </w:p>
    <w:p>
      <w:pPr>
        <w:pStyle w:val="ListBullet"/>
        <w:keepLines w:val="1"/>
        <w:keepNext w:val="1"/>
        <w:widowControl w:val="1"/>
      </w:pPr>
      <w:r>
        <w:t xml:space="preserve">Ejemplo rápido con G2 (reducción de exposición):  </w:t>
      </w:r>
    </w:p>
    <w:p>
      <w:pPr>
        <w:pStyle w:val="ListBullet"/>
        <w:keepLines w:val="1"/>
        <w:keepNext w:val="1"/>
        <w:widowControl w:val="1"/>
      </w:pPr>
      <w:r>
        <w:t xml:space="preserve">Goal: reducir exposición material.  </w:t>
      </w:r>
    </w:p>
    <w:p>
      <w:pPr>
        <w:pStyle w:val="ListBullet"/>
        <w:keepLines w:val="1"/>
        <w:keepNext w:val="1"/>
        <w:widowControl w:val="1"/>
      </w:pPr>
      <w:r>
        <w:t xml:space="preserve">Question: ¿qué porcentaje de exposiciones de alto riesgo queda abierto?  </w:t>
      </w:r>
    </w:p>
    <w:p>
      <w:pPr>
        <w:pStyle w:val="ListBullet"/>
        <w:keepLines w:val="1"/>
        <w:widowControl w:val="1"/>
      </w:pPr>
      <w:r>
        <w:t>Metric: M2.2.</w:t>
      </w:r>
    </w:p>
    <w:p>
      <w:pPr>
        <w:pStyle w:val="Heading2"/>
        <w:keepNext/>
        <w:keepLines/>
      </w:pPr>
      <w:r>
        <w:rPr>
          <w:color w:val="0066CC"/>
        </w:rPr>
        <w:t>Diapositiva 4 – Resumen de PRAGMATIC</w:t>
      </w:r>
    </w:p>
    <w:p>
      <w:pPr>
        <w:pStyle w:val="ListBullet"/>
        <w:keepLines w:val="1"/>
        <w:keepNext w:val="1"/>
        <w:widowControl w:val="1"/>
      </w:pPr>
      <w:r>
        <w:t xml:space="preserve">Listado de criterios (P, R, A, G, M, P2, T, I, C).  </w:t>
      </w:r>
    </w:p>
    <w:p>
      <w:pPr>
        <w:pStyle w:val="ListBullet"/>
        <w:keepLines w:val="1"/>
        <w:keepNext w:val="1"/>
        <w:widowControl w:val="1"/>
      </w:pPr>
      <w:r>
        <w:t xml:space="preserve">Explicación de escala 1–5.  </w:t>
      </w:r>
    </w:p>
    <w:p>
      <w:pPr>
        <w:pStyle w:val="ListBullet"/>
        <w:keepLines w:val="1"/>
        <w:widowControl w:val="1"/>
      </w:pPr>
      <w:r>
        <w:t>Mensaje: “No toda métrica que se puede medir merece su sitio en el panel nacional”.</w:t>
      </w:r>
    </w:p>
    <w:p>
      <w:pPr>
        <w:pStyle w:val="Heading2"/>
        <w:keepNext/>
        <w:keepLines/>
      </w:pPr>
      <w:r>
        <w:rPr>
          <w:color w:val="0066CC"/>
        </w:rPr>
        <w:t>Diapositiva 5 – Vista global de métricas GQM CAASM</w:t>
      </w:r>
    </w:p>
    <w:p>
      <w:pPr>
        <w:pStyle w:val="ListBullet"/>
        <w:keepLines w:val="1"/>
        <w:keepNext w:val="1"/>
        <w:widowControl w:val="1"/>
      </w:pPr>
      <w:r>
        <w:t xml:space="preserve">Tabla resumida con M1.x, M2.x, M3.x, M4.x, M5.x.  </w:t>
      </w:r>
    </w:p>
    <w:p>
      <w:pPr>
        <w:pStyle w:val="ListBullet"/>
        <w:keepLines w:val="1"/>
        <w:widowControl w:val="1"/>
      </w:pPr>
      <w:r>
        <w:t>Clasificación por objetivo (G1–G5).</w:t>
      </w:r>
    </w:p>
    <w:p>
      <w:pPr>
        <w:pStyle w:val="Heading2"/>
        <w:keepNext/>
        <w:keepLines/>
      </w:pPr>
      <w:r>
        <w:rPr>
          <w:color w:val="0066CC"/>
        </w:rPr>
        <w:t>Diapositiva 6 – PRAGMATIC: ranking de métricas clave</w:t>
      </w:r>
    </w:p>
    <w:p>
      <w:pPr>
        <w:pStyle w:val="ListBullet"/>
        <w:keepLines w:val="1"/>
        <w:keepNext w:val="1"/>
        <w:widowControl w:val="1"/>
      </w:pPr>
      <w:r>
        <w:t xml:space="preserve">Gráfico de barras ordenado por PRAGMATIC_Score.  </w:t>
      </w:r>
    </w:p>
    <w:p>
      <w:pPr>
        <w:pStyle w:val="ListBullet"/>
        <w:keepLines w:val="1"/>
        <w:widowControl w:val="1"/>
      </w:pPr>
      <w:r>
        <w:t>Señalar las 3–5 métricas estrella.</w:t>
      </w:r>
    </w:p>
    <w:p>
      <w:pPr>
        <w:pStyle w:val="Heading2"/>
        <w:keepNext/>
        <w:keepLines/>
      </w:pPr>
      <w:r>
        <w:rPr>
          <w:color w:val="0066CC"/>
        </w:rPr>
        <w:t>Diapositiva 7 – IGM nacional (si se dispone de datos)</w:t>
      </w:r>
    </w:p>
    <w:p>
      <w:pPr>
        <w:pStyle w:val="ListBullet"/>
        <w:keepLines w:val="1"/>
        <w:keepNext w:val="1"/>
        <w:widowControl w:val="1"/>
      </w:pPr>
      <w:r>
        <w:t xml:space="preserve">Visual similar a “velocímetro”.  </w:t>
      </w:r>
    </w:p>
    <w:p>
      <w:pPr>
        <w:pStyle w:val="ListBullet"/>
        <w:keepLines w:val="1"/>
        <w:widowControl w:val="1"/>
      </w:pPr>
      <w:r>
        <w:t>Mensaje: posición actual en escala 0–100.</w:t>
      </w:r>
    </w:p>
    <w:p>
      <w:pPr>
        <w:pStyle w:val="Heading2"/>
        <w:keepNext/>
        <w:keepLines/>
      </w:pPr>
      <w:r>
        <w:rPr>
          <w:color w:val="0066CC"/>
        </w:rPr>
        <w:t>Diapositiva 8 – Desglose de índices parciales</w:t>
      </w:r>
    </w:p>
    <w:p>
      <w:pPr>
        <w:pStyle w:val="ListBullet"/>
        <w:keepLines w:val="1"/>
        <w:keepNext w:val="1"/>
        <w:widowControl w:val="1"/>
      </w:pPr>
      <w:r>
        <w:t xml:space="preserve">Radar o barras para IVA, IEP, IRA, ICR, IGC.  </w:t>
      </w:r>
    </w:p>
    <w:p>
      <w:pPr>
        <w:pStyle w:val="ListBullet"/>
        <w:keepLines w:val="1"/>
        <w:widowControl w:val="1"/>
      </w:pPr>
      <w:r>
        <w:t>Comentarios breves por dimensión.</w:t>
      </w:r>
    </w:p>
    <w:p>
      <w:pPr>
        <w:pStyle w:val="Heading2"/>
        <w:keepNext/>
        <w:keepLines/>
      </w:pPr>
      <w:r>
        <w:rPr>
          <w:color w:val="0066CC"/>
        </w:rPr>
        <w:t>Diapositiva 9 – Enfoque regulatorio</w:t>
      </w:r>
    </w:p>
    <w:p>
      <w:pPr>
        <w:pStyle w:val="ListBullet"/>
        <w:keepLines w:val="1"/>
        <w:keepNext w:val="1"/>
        <w:widowControl w:val="1"/>
      </w:pPr>
      <w:r>
        <w:t xml:space="preserve">Gráfico o tabla que relacione métricas con NIS2, ENS, ISO 27001.  </w:t>
      </w:r>
    </w:p>
    <w:p>
      <w:pPr>
        <w:pStyle w:val="ListBullet"/>
        <w:keepLines w:val="1"/>
        <w:widowControl w:val="1"/>
      </w:pPr>
      <w:r>
        <w:t>Enfatizar cómo CAASM aporta evidencias continuas.</w:t>
      </w:r>
    </w:p>
    <w:p>
      <w:pPr>
        <w:pStyle w:val="Heading2"/>
        <w:keepNext/>
        <w:keepLines/>
      </w:pPr>
      <w:r>
        <w:rPr>
          <w:color w:val="0066CC"/>
        </w:rPr>
        <w:t>Diapositiva 10 – Impacto en ROI</w:t>
      </w:r>
    </w:p>
    <w:p>
      <w:pPr>
        <w:pStyle w:val="ListBullet"/>
        <w:keepLines w:val="1"/>
        <w:keepNext w:val="1"/>
        <w:widowControl w:val="1"/>
      </w:pPr>
      <w:r>
        <w:t xml:space="preserve">Gráfico IGM vs frecuencia de incidentes o coste medio anual.  </w:t>
      </w:r>
    </w:p>
    <w:p>
      <w:pPr>
        <w:pStyle w:val="ListBullet"/>
        <w:keepLines w:val="1"/>
        <w:widowControl w:val="1"/>
      </w:pPr>
      <w:r>
        <w:t>Mensaje: “Más madurez, menos coste de incidentes (en promedio)”.</w:t>
      </w:r>
    </w:p>
    <w:p>
      <w:pPr>
        <w:pStyle w:val="Heading2"/>
        <w:keepNext/>
        <w:keepLines/>
      </w:pPr>
      <w:r>
        <w:rPr>
          <w:color w:val="0066CC"/>
        </w:rPr>
        <w:t>Diapositiva 11 – Recomendaciones estratégicas</w:t>
      </w:r>
    </w:p>
    <w:p>
      <w:pPr>
        <w:pStyle w:val="ListBullet"/>
        <w:keepLines w:val="1"/>
        <w:keepNext w:val="1"/>
        <w:widowControl w:val="1"/>
      </w:pPr>
      <w:r>
        <w:t xml:space="preserve">Selección de 4–5 líneas de acción:  </w:t>
      </w:r>
    </w:p>
    <w:p>
      <w:pPr>
        <w:pStyle w:val="ListBullet"/>
        <w:keepLines w:val="1"/>
        <w:keepNext w:val="1"/>
        <w:widowControl w:val="1"/>
      </w:pPr>
      <w:r>
        <w:t xml:space="preserve">Completar visibilidad en sectores críticos.  </w:t>
      </w:r>
    </w:p>
    <w:p>
      <w:pPr>
        <w:pStyle w:val="ListBullet"/>
        <w:keepLines w:val="1"/>
        <w:keepNext w:val="1"/>
        <w:widowControl w:val="1"/>
      </w:pPr>
      <w:r>
        <w:t xml:space="preserve">Enfocar remediación en exposiciones de alta probabilidad.  </w:t>
      </w:r>
    </w:p>
    <w:p>
      <w:pPr>
        <w:pStyle w:val="ListBullet"/>
        <w:keepLines w:val="1"/>
        <w:keepNext w:val="1"/>
        <w:widowControl w:val="1"/>
      </w:pPr>
      <w:r>
        <w:t xml:space="preserve">Aumentar automatización de remediación.  </w:t>
      </w:r>
    </w:p>
    <w:p>
      <w:pPr>
        <w:pStyle w:val="ListBullet"/>
        <w:keepLines w:val="1"/>
        <w:widowControl w:val="1"/>
      </w:pPr>
      <w:r>
        <w:t>Fortalecer reporting y gobernanza.</w:t>
      </w:r>
    </w:p>
    <w:p>
      <w:pPr>
        <w:pStyle w:val="Heading2"/>
        <w:keepNext/>
        <w:keepLines/>
      </w:pPr>
      <w:r>
        <w:rPr>
          <w:color w:val="0066CC"/>
        </w:rPr>
        <w:t>Diapositiva 12 – Roadmap de implementación</w:t>
      </w:r>
    </w:p>
    <w:p>
      <w:pPr>
        <w:pStyle w:val="ListBullet"/>
        <w:keepLines w:val="1"/>
        <w:widowControl w:val="1"/>
      </w:pPr>
      <w:r>
        <w:t>Fases: diseño, piloto, despliegue sectorial, despliegue nacional.</w:t>
      </w:r>
    </w:p>
    <w:p>
      <w:pPr>
        <w:pStyle w:val="Heading2"/>
        <w:keepNext/>
        <w:keepLines/>
      </w:pPr>
      <w:r>
        <w:rPr>
          <w:color w:val="0066CC"/>
        </w:rPr>
        <w:t>Diapositiva 13 – Cierre y próximos pasos</w:t>
      </w:r>
    </w:p>
    <w:p>
      <w:pPr>
        <w:pStyle w:val="ListBullet"/>
        <w:keepLines w:val="1"/>
        <w:widowControl w:val="1"/>
      </w:pPr>
      <w:r>
        <w:t>Resumen de lo que se espera de los distintos actores (organismos reguladores, CSIRTs, operadores esenciales, etc.).</w:t>
      </w:r>
    </w:p>
    <w:p>
      <w:r>
        <w:t>Fin de la plantilla de reporte.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