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MITRE ATT&amp;CK a Nivel Nacional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 xml:space="preserve">Este documento define un marco integrativo que combina la metodología </w:t>
      </w:r>
      <w:r>
        <w:rPr>
          <w:b/>
        </w:rPr>
        <w:t>Goal–Question–Metric (GQM)</w:t>
      </w:r>
      <w:r>
        <w:t xml:space="preserve"> con la evaluación </w:t>
      </w:r>
      <w:r>
        <w:rPr>
          <w:b/>
        </w:rPr>
        <w:t>PRAGMATIC</w:t>
      </w:r>
      <w:r>
        <w:t xml:space="preserve"> para diseñar, evaluar y gobernar indicadores de ciberseguridad basados en MITRE ATT&amp;CK aplicables a objetivos nacionales (por ejemplo, España en el contexto europeo).[web:29][web:66][web:43]  </w:t>
      </w:r>
    </w:p>
    <w:p>
      <w:r>
        <w:t>Se parte de la tendencia internacional a usar MITRE ATT&amp;CK como base para medir cobertura de tácticas/técnicas, calidad de detección, tiempos de respuesta y alineación con el panorama de amenazas recogido por ENISA y las evaluaciones Enterprise de MITRE.[web:16][web:22][web:66]</w:t>
      </w:r>
    </w:p>
    <w:p>
      <w:pPr>
        <w:pStyle w:val="Heading2"/>
        <w:keepNext/>
        <w:keepLines/>
      </w:pPr>
      <w:r>
        <w:rPr>
          <w:color w:val="0066CC"/>
        </w:rPr>
        <w:t>2. Metodología GQM</w:t>
      </w:r>
    </w:p>
    <w:p>
      <w:pPr>
        <w:pStyle w:val="Heading3"/>
        <w:keepNext/>
        <w:keepLines/>
      </w:pPr>
      <w:r>
        <w:t>2.1 Esquema general</w:t>
      </w:r>
    </w:p>
    <w:p>
      <w:pPr>
        <w:pStyle w:val="ListBullet"/>
        <w:keepLines w:val="1"/>
        <w:keepNext w:val="1"/>
        <w:widowControl w:val="1"/>
      </w:pPr>
      <w:r>
        <w:t xml:space="preserve">Goal (Objetivo): Qué resultado estratégico se desea lograr (p. ej., “Incrementar la resiliencia nacional frente a ataques de movimiento lateral”).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Qué necesitamos saber para saber si avanzamos hacia ese objetivo (p. ej., “¿Qué porcentaje de técnicas de movimiento lateral relevantes son detectadas a tiempo?”).  </w:t>
      </w:r>
    </w:p>
    <w:p>
      <w:pPr>
        <w:pStyle w:val="ListBullet"/>
        <w:keepLines w:val="1"/>
        <w:widowControl w:val="1"/>
      </w:pPr>
      <w:r>
        <w:t>Metric (Métrica): Qué datos cuantitativos/qualitativos vamos a recoger (p. ej., “Porcentaje de técnicas de la táctica Lateral Movement con detecciones activas y probadas”).[web:29][web:66]</w:t>
      </w:r>
    </w:p>
    <w:p>
      <w:pPr>
        <w:pStyle w:val="Heading3"/>
        <w:keepNext/>
        <w:keepLines/>
      </w:pPr>
      <w:r>
        <w:t>2.2 Aplicación al contexto nacional</w:t>
      </w:r>
    </w:p>
    <w:p>
      <w:r>
        <w:t>El GQM se aplica en tres niveles:</w:t>
      </w:r>
    </w:p>
    <w:p>
      <w:pPr>
        <w:pStyle w:val="ListNumber"/>
        <w:keepLines w:val="1"/>
        <w:keepNext w:val="1"/>
        <w:widowControl w:val="1"/>
      </w:pPr>
      <w:r>
        <w:t xml:space="preserve">Nivel nacional / estratégico: </w:t>
      </w:r>
    </w:p>
    <w:p>
      <w:pPr>
        <w:pStyle w:val="ListNumber"/>
        <w:keepLines w:val="1"/>
        <w:keepNext w:val="1"/>
        <w:widowControl w:val="1"/>
      </w:pPr>
      <w:r>
        <w:br/>
        <w:t xml:space="preserve">Objetivos de resiliencia y reducción de riesgo a escala país, alineados con estrategias nacionales y marcos europeos (NIS2, DORA, ENISA ETL).[web:66][web:43]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sectorial / crítico: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para sectores clave (energía, salud, administración, OT, financiero…).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Nivel organizativo / técnico: </w:t>
        <w:br/>
      </w:r>
    </w:p>
    <w:p>
      <w:pPr>
        <w:pStyle w:val="ListNumber"/>
        <w:keepLines w:val="1"/>
        <w:widowControl w:val="1"/>
      </w:pPr>
      <w:r>
        <w:t>Métricas concretas de cobertura ATT&amp;CK, tiempos de respuesta, calidad de detecciones, uso de CTI, etc., que alimentan los niveles superiores.[web:16][web:22][web:26]</w:t>
      </w:r>
    </w:p>
    <w:p>
      <w:r>
        <w:t xml:space="preserve">Objetivos de resiliencia y reducción de riesgo a escala país, alineados con estrategias nacionales y marcos europeos (NIS2, DORA, ENISA ETL).[web:66][web:43]  </w:t>
      </w:r>
    </w:p>
    <w:p>
      <w:r>
        <w:rPr>
          <w:b/>
        </w:rPr>
        <w:t>Nivel sectorial / crítico:</w:t>
      </w:r>
      <w:r>
        <w:t xml:space="preserve"> </w:t>
      </w:r>
    </w:p>
    <w:p>
      <w:r>
        <w:t xml:space="preserve">Objetivos para sectores clave (energía, salud, administración, OT, financiero…).  </w:t>
      </w:r>
    </w:p>
    <w:p>
      <w:r>
        <w:rPr>
          <w:b/>
        </w:rPr>
        <w:t>Nivel organizativo / técnico: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3. Criterios PRAGMATIC</w:t>
      </w:r>
    </w:p>
    <w:p>
      <w:pPr>
        <w:pStyle w:val="Heading3"/>
        <w:keepNext/>
        <w:keepLines/>
      </w:pPr>
      <w:r>
        <w:t>3.1 Definición de criterios</w:t>
      </w:r>
    </w:p>
    <w:p>
      <w:r>
        <w:t>Cada métrica se evalúa con nueve criterios PRAGMATIC, en una escala de 0 a 5:</w:t>
      </w:r>
    </w:p>
    <w:p>
      <w:pPr>
        <w:pStyle w:val="ListNumber"/>
        <w:keepLines w:val="1"/>
        <w:keepNext w:val="1"/>
        <w:widowControl w:val="1"/>
      </w:pPr>
      <w:r>
        <w:t xml:space="preserve">P – Predictivo: la métrica anticipa problemas o tendencias de riesgo.  </w:t>
      </w:r>
    </w:p>
    <w:p>
      <w:pPr>
        <w:pStyle w:val="ListNumber"/>
        <w:keepLines w:val="1"/>
        <w:keepNext w:val="1"/>
        <w:widowControl w:val="1"/>
      </w:pPr>
      <w:r>
        <w:t xml:space="preserve">R – Relevante: está vinculada directamente con objetivos de negocio o nacionales.  </w:t>
      </w:r>
    </w:p>
    <w:p>
      <w:pPr>
        <w:pStyle w:val="ListNumber"/>
        <w:keepLines w:val="1"/>
        <w:keepNext w:val="1"/>
        <w:widowControl w:val="1"/>
      </w:pPr>
      <w:r>
        <w:t xml:space="preserve">A – Accionable: su variación lleva a decisiones claras (inversión, cambios, priorización).  </w:t>
      </w:r>
    </w:p>
    <w:p>
      <w:pPr>
        <w:pStyle w:val="ListNumber"/>
        <w:keepLines w:val="1"/>
        <w:keepNext w:val="1"/>
        <w:widowControl w:val="1"/>
      </w:pPr>
      <w:r>
        <w:t xml:space="preserve">G – Genuino: refleja la realidad, sin inducir comportamientos perversos o “gaming”.  </w:t>
      </w:r>
    </w:p>
    <w:p>
      <w:pPr>
        <w:pStyle w:val="ListNumber"/>
        <w:keepLines w:val="1"/>
        <w:keepNext w:val="1"/>
        <w:widowControl w:val="1"/>
      </w:pPr>
      <w:r>
        <w:t xml:space="preserve">M – Significativo (Meaningful): es comprensible y aporta valor a interlocutores clave.  </w:t>
      </w:r>
    </w:p>
    <w:p>
      <w:pPr>
        <w:pStyle w:val="ListNumber"/>
        <w:keepLines w:val="1"/>
        <w:keepNext w:val="1"/>
        <w:widowControl w:val="1"/>
      </w:pPr>
      <w:r>
        <w:t xml:space="preserve">P – Preciso (Precise): tiene una definición clara y se puede medir de forma consistente.  </w:t>
      </w:r>
    </w:p>
    <w:p>
      <w:pPr>
        <w:pStyle w:val="ListNumber"/>
        <w:keepLines w:val="1"/>
        <w:keepNext w:val="1"/>
        <w:widowControl w:val="1"/>
      </w:pPr>
      <w:r>
        <w:t xml:space="preserve">T – Oportuno (Timely): puede medirse con la frecuencia necesaria para tomar decisiones.  </w:t>
      </w:r>
    </w:p>
    <w:p>
      <w:pPr>
        <w:pStyle w:val="ListNumber"/>
        <w:keepLines w:val="1"/>
        <w:keepNext w:val="1"/>
        <w:widowControl w:val="1"/>
      </w:pPr>
      <w:r>
        <w:t xml:space="preserve">I – Independiente: no está excesivamente correlacionada con otras métricas del set.  </w:t>
      </w:r>
    </w:p>
    <w:p>
      <w:pPr>
        <w:pStyle w:val="ListNumber"/>
        <w:keepLines w:val="1"/>
        <w:widowControl w:val="1"/>
      </w:pPr>
      <w:r>
        <w:t>C – Rentable (Cost-effective): el coste de medida es razonable respecto al valor aportado.</w:t>
      </w:r>
    </w:p>
    <w:p>
      <w:pPr>
        <w:pStyle w:val="Heading3"/>
        <w:keepNext/>
        <w:keepLines/>
      </w:pPr>
      <w:r>
        <w:t>3.2 Escala de valoración</w:t>
      </w:r>
    </w:p>
    <w:p>
      <w:pPr>
        <w:pStyle w:val="ListBullet"/>
        <w:keepLines w:val="1"/>
        <w:keepNext w:val="1"/>
        <w:widowControl w:val="1"/>
      </w:pPr>
      <w:r>
        <w:t xml:space="preserve">0: No cumple el criterio.  </w:t>
      </w:r>
    </w:p>
    <w:p>
      <w:pPr>
        <w:pStyle w:val="ListBullet"/>
        <w:keepLines w:val="1"/>
        <w:keepNext w:val="1"/>
        <w:widowControl w:val="1"/>
      </w:pPr>
      <w:r>
        <w:t xml:space="preserve">1: Cumplimiento muy débil.  </w:t>
      </w:r>
    </w:p>
    <w:p>
      <w:pPr>
        <w:pStyle w:val="ListBullet"/>
        <w:keepLines w:val="1"/>
        <w:keepNext w:val="1"/>
        <w:widowControl w:val="1"/>
      </w:pPr>
      <w:r>
        <w:t xml:space="preserve">2: Cumplimiento parcial.  </w:t>
      </w:r>
    </w:p>
    <w:p>
      <w:pPr>
        <w:pStyle w:val="ListBullet"/>
        <w:keepLines w:val="1"/>
        <w:keepNext w:val="1"/>
        <w:widowControl w:val="1"/>
      </w:pPr>
      <w:r>
        <w:t xml:space="preserve">3: Cumplimiento razonable.  </w:t>
      </w:r>
    </w:p>
    <w:p>
      <w:pPr>
        <w:pStyle w:val="ListBullet"/>
        <w:keepLines w:val="1"/>
        <w:keepNext w:val="1"/>
        <w:widowControl w:val="1"/>
      </w:pPr>
      <w:r>
        <w:t xml:space="preserve">4: Cumplimiento fuerte.  </w:t>
      </w:r>
    </w:p>
    <w:p>
      <w:pPr>
        <w:pStyle w:val="ListBullet"/>
        <w:keepLines w:val="1"/>
        <w:widowControl w:val="1"/>
      </w:pPr>
      <w:r>
        <w:t>5: Cumplimiento excelente.</w:t>
      </w:r>
    </w:p>
    <w:p>
      <w:r>
        <w:t>Se puede utilizar la suma (0–45) o la media (0–5) para comparar métricas.</w:t>
      </w:r>
    </w:p>
    <w:p>
      <w:pPr>
        <w:pStyle w:val="Heading2"/>
        <w:keepNext/>
        <w:keepLines/>
      </w:pPr>
      <w:r>
        <w:rPr>
          <w:color w:val="0066CC"/>
        </w:rPr>
        <w:t>4. Conjunto de indicadores MITRE ATT&amp;CK (resumen)</w:t>
      </w:r>
    </w:p>
    <w:p>
      <w:r>
        <w:t xml:space="preserve">A partir del informe previo, se seleccionan los siguientes </w:t>
      </w:r>
      <w:r>
        <w:rPr>
          <w:b/>
        </w:rPr>
        <w:t>indicadores nucleares</w:t>
      </w:r>
      <w:r>
        <w:t>:</w:t>
      </w:r>
    </w:p>
    <w:p>
      <w:pPr>
        <w:pStyle w:val="ListNumber"/>
        <w:keepLines w:val="1"/>
        <w:keepNext w:val="1"/>
        <w:widowControl w:val="1"/>
      </w:pPr>
      <w:r>
        <w:t xml:space="preserve">Cobertura de tácticas ATT&amp;CK prioritarias a nivel país.  </w:t>
      </w:r>
    </w:p>
    <w:p>
      <w:pPr>
        <w:pStyle w:val="ListNumber"/>
        <w:keepLines w:val="1"/>
        <w:keepNext w:val="1"/>
        <w:widowControl w:val="1"/>
      </w:pPr>
      <w:r>
        <w:t xml:space="preserve">Cobertura de técnicas ATT&amp;CK relevantes (por sector / por país).[web:29][web:66]  </w:t>
      </w:r>
    </w:p>
    <w:p>
      <w:pPr>
        <w:pStyle w:val="ListNumber"/>
        <w:keepLines w:val="1"/>
        <w:keepNext w:val="1"/>
        <w:widowControl w:val="1"/>
      </w:pPr>
      <w:r>
        <w:t xml:space="preserve">Brecha entre cobertura declarada y cobertura validada (tras ejercicios, pruebas, incidentes).[web:16][web:22]  </w:t>
      </w:r>
    </w:p>
    <w:p>
      <w:pPr>
        <w:pStyle w:val="ListNumber"/>
        <w:keepLines w:val="1"/>
        <w:keepNext w:val="1"/>
        <w:widowControl w:val="1"/>
      </w:pPr>
      <w:r>
        <w:t xml:space="preserve">Calidad de detección (falsos positivos / contexto) para técnicas clave.[web:16][web:60]  </w:t>
      </w:r>
    </w:p>
    <w:p>
      <w:pPr>
        <w:pStyle w:val="ListNumber"/>
        <w:keepLines w:val="1"/>
        <w:keepNext w:val="1"/>
        <w:widowControl w:val="1"/>
      </w:pPr>
      <w:r>
        <w:t xml:space="preserve">Porcentaje de alertas críticas etiquetadas con ATT&amp;CK. </w:t>
      </w:r>
    </w:p>
    <w:p>
      <w:pPr>
        <w:pStyle w:val="ListNumber"/>
        <w:keepLines w:val="1"/>
        <w:keepNext w:val="1"/>
        <w:widowControl w:val="1"/>
      </w:pPr>
      <w:r>
        <w:t xml:space="preserve">MTTD, MTTC y MTTR por táctica/técnica crítica (credenciales, movimiento lateral, exfiltración…).[web:26][web:66]  </w:t>
      </w:r>
    </w:p>
    <w:p>
      <w:pPr>
        <w:pStyle w:val="ListNumber"/>
        <w:keepLines w:val="1"/>
        <w:keepNext w:val="1"/>
        <w:widowControl w:val="1"/>
      </w:pPr>
      <w:r>
        <w:t xml:space="preserve">Uso de CTI con mapeo ATT&amp;CK y priorización según ENISA ETL 2025.[web:66][web:43]  </w:t>
      </w:r>
    </w:p>
    <w:p>
      <w:pPr>
        <w:pStyle w:val="ListNumber"/>
        <w:keepLines w:val="1"/>
        <w:keepNext w:val="1"/>
        <w:widowControl w:val="1"/>
      </w:pPr>
      <w:r>
        <w:t xml:space="preserve">Porcentaje de incidentes nacionales mapeados a ATT&amp;CK y distribución de tácticas frecuentes.[web:66]  </w:t>
      </w:r>
    </w:p>
    <w:p>
      <w:pPr>
        <w:pStyle w:val="ListNumber"/>
        <w:keepLines w:val="1"/>
        <w:keepNext w:val="1"/>
        <w:widowControl w:val="1"/>
      </w:pPr>
      <w:r>
        <w:t xml:space="preserve">Porcentaje de herramientas y servicios gestionados alineados con ATT&amp;CK (soporte nativo, dashboards, heatmaps).[web:23][web:16]  </w:t>
      </w:r>
    </w:p>
    <w:p>
      <w:pPr>
        <w:pStyle w:val="ListNumber"/>
        <w:keepLines w:val="1"/>
        <w:keepNext w:val="1"/>
        <w:widowControl w:val="1"/>
      </w:pPr>
      <w:r>
        <w:t xml:space="preserve">Índice Global de Madurez ATT&amp;CK (IGM) agregado.  </w:t>
      </w:r>
    </w:p>
    <w:p>
      <w:pPr>
        <w:pStyle w:val="ListNumber"/>
        <w:keepLines w:val="1"/>
        <w:widowControl w:val="1"/>
      </w:pPr>
      <w:r>
        <w:t>ROI estimado de iniciativas ATT&amp;CK‑driven (mejoras de detección, automatización, etc.).[web:50][web:53]</w:t>
      </w:r>
    </w:p>
    <w:p>
      <w:pPr>
        <w:pStyle w:val="Heading2"/>
        <w:keepNext/>
        <w:keepLines/>
      </w:pPr>
      <w:r>
        <w:rPr>
          <w:color w:val="0066CC"/>
        </w:rPr>
        <w:t>5. Estructura GQM + PRAGMATIC</w:t>
      </w:r>
    </w:p>
    <w:p>
      <w:r>
        <w:t>Para cada indicador se definen:</w:t>
      </w:r>
    </w:p>
    <w:p>
      <w:pPr>
        <w:pStyle w:val="ListBullet"/>
        <w:keepLines w:val="1"/>
        <w:keepNext w:val="1"/>
        <w:widowControl w:val="1"/>
      </w:pPr>
      <w:r>
        <w:t xml:space="preserve">Objetivo(s) nacional(es) asociado(s).  </w:t>
      </w:r>
    </w:p>
    <w:p>
      <w:pPr>
        <w:pStyle w:val="ListBullet"/>
        <w:keepLines w:val="1"/>
        <w:keepNext w:val="1"/>
        <w:widowControl w:val="1"/>
      </w:pPr>
      <w:r>
        <w:t xml:space="preserve">Preguntas GQM.  </w:t>
      </w:r>
    </w:p>
    <w:p>
      <w:pPr>
        <w:pStyle w:val="ListBullet"/>
        <w:keepLines w:val="1"/>
        <w:keepNext w:val="1"/>
        <w:widowControl w:val="1"/>
      </w:pPr>
      <w:r>
        <w:t xml:space="preserve">Métrica(s) concreta(s).  </w:t>
      </w:r>
    </w:p>
    <w:p>
      <w:pPr>
        <w:pStyle w:val="ListBullet"/>
        <w:keepLines w:val="1"/>
        <w:widowControl w:val="1"/>
      </w:pPr>
      <w:r>
        <w:t xml:space="preserve">Evaluación PRAGMATIC (0–5 por criterio).  </w:t>
      </w:r>
    </w:p>
    <w:p>
      <w:r>
        <w:t>La matriz detallada se desarrolla en el archivo “Matriz de Evaluación PRAGMATIC Completa”.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