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MITRE ATT&amp;CK</w:t>
      </w:r>
    </w:p>
    <w:p>
      <w:pPr>
        <w:pStyle w:val="Heading2"/>
        <w:keepNext/>
        <w:keepLines/>
      </w:pPr>
      <w:r>
        <w:rPr>
          <w:color w:val="0066CC"/>
        </w:rPr>
        <w:t>1. Propósito</w:t>
      </w:r>
    </w:p>
    <w:p>
      <w:r>
        <w:t>Esta guía explica cómo aplicar, interpretar y explotar la Encuesta Integral de Madurez MITRE ATT&amp;CK.[web:3][web:29][web:66]</w:t>
      </w:r>
      <w:r/>
      <w:r>
        <w:br/>
        <w:t>Se orienta a responsables de ciberseguridad que quieran pasar de “tenemos un SIEM” a “tenemos un sistema de detección razonablemente civilizado y medible”.</w:t>
      </w:r>
    </w:p>
    <w:p>
      <w:pPr>
        <w:pStyle w:val="Heading2"/>
        <w:keepNext/>
        <w:keepLines/>
      </w:pPr>
      <w:r>
        <w:rPr>
          <w:color w:val="0066CC"/>
        </w:rPr>
        <w:t>2. Alcance y público objetivo</w:t>
      </w:r>
    </w:p>
    <w:p>
      <w:pPr>
        <w:pStyle w:val="ListBullet"/>
        <w:keepLines w:val="1"/>
        <w:keepNext w:val="1"/>
        <w:widowControl w:val="1"/>
      </w:pPr>
      <w:r>
        <w:t xml:space="preserve">Ámbito organizativo: cualquier entidad con activos digitales significativos, especialmente sectores críticos y administraciones públicas, alineadas con prácticas europeas (ENISA Threat Landscape) y evaluaciones MITRE ATT&amp;CK Enterprise.[web:66][web:43][web:16][web:22]  </w:t>
      </w:r>
    </w:p>
    <w:p>
      <w:pPr>
        <w:pStyle w:val="ListBullet"/>
        <w:keepLines w:val="1"/>
        <w:widowControl w:val="1"/>
      </w:pPr>
      <w:r>
        <w:t>Roles destinatarios: CISO, responsables de SOC, CTI, respuesta a incidentes, riesgos y dirección de TI.</w:t>
      </w:r>
    </w:p>
    <w:p>
      <w:pPr>
        <w:pStyle w:val="Heading2"/>
        <w:keepNext/>
        <w:keepLines/>
      </w:pPr>
      <w:r>
        <w:rPr>
          <w:color w:val="0066CC"/>
        </w:rPr>
        <w:t>3. Estructura de la encuesta</w:t>
      </w:r>
    </w:p>
    <w:p>
      <w:r>
        <w:t>La encuesta se articula en bloques:</w:t>
      </w:r>
    </w:p>
    <w:p>
      <w:pPr>
        <w:pStyle w:val="ListNumber"/>
        <w:keepLines w:val="1"/>
        <w:keepNext w:val="1"/>
        <w:widowControl w:val="1"/>
      </w:pPr>
      <w:r>
        <w:t xml:space="preserve">Datos generales.  </w:t>
      </w:r>
    </w:p>
    <w:p>
      <w:pPr>
        <w:pStyle w:val="ListNumber"/>
        <w:keepLines w:val="1"/>
        <w:keepNext w:val="1"/>
        <w:widowControl w:val="1"/>
      </w:pPr>
      <w:r>
        <w:t xml:space="preserve">Gobierno y estrategia.  </w:t>
      </w:r>
    </w:p>
    <w:p>
      <w:pPr>
        <w:pStyle w:val="ListNumber"/>
        <w:keepLines w:val="1"/>
        <w:keepNext w:val="1"/>
        <w:widowControl w:val="1"/>
      </w:pPr>
      <w:r>
        <w:t xml:space="preserve">Cobertura de tácticas y técnicas.  </w:t>
      </w:r>
    </w:p>
    <w:p>
      <w:pPr>
        <w:pStyle w:val="ListNumber"/>
        <w:keepLines w:val="1"/>
        <w:keepNext w:val="1"/>
        <w:widowControl w:val="1"/>
      </w:pPr>
      <w:r>
        <w:t xml:space="preserve">Calidad de detección.  </w:t>
      </w:r>
    </w:p>
    <w:p>
      <w:pPr>
        <w:pStyle w:val="ListNumber"/>
        <w:keepLines w:val="1"/>
        <w:keepNext w:val="1"/>
        <w:widowControl w:val="1"/>
      </w:pPr>
      <w:r>
        <w:t xml:space="preserve">Métricas temporales.  </w:t>
      </w:r>
    </w:p>
    <w:p>
      <w:pPr>
        <w:pStyle w:val="ListNumber"/>
        <w:keepLines w:val="1"/>
        <w:keepNext w:val="1"/>
        <w:widowControl w:val="1"/>
      </w:pPr>
      <w:r>
        <w:t xml:space="preserve">Amenazas/CTI.  </w:t>
      </w:r>
    </w:p>
    <w:p>
      <w:pPr>
        <w:pStyle w:val="ListNumber"/>
        <w:keepLines w:val="1"/>
        <w:keepNext w:val="1"/>
        <w:widowControl w:val="1"/>
      </w:pPr>
      <w:r>
        <w:t xml:space="preserve">Integración con herramientas.  </w:t>
      </w:r>
    </w:p>
    <w:p>
      <w:pPr>
        <w:pStyle w:val="ListNumber"/>
        <w:keepLines w:val="1"/>
        <w:keepNext w:val="1"/>
        <w:widowControl w:val="1"/>
      </w:pPr>
      <w:r>
        <w:t xml:space="preserve">Ejercicios y mejora.  </w:t>
      </w:r>
    </w:p>
    <w:p>
      <w:pPr>
        <w:pStyle w:val="ListNumber"/>
        <w:keepLines w:val="1"/>
        <w:keepNext w:val="1"/>
        <w:widowControl w:val="1"/>
      </w:pPr>
      <w:r>
        <w:t xml:space="preserve">Indicadores económicos (IGM, ROI).  </w:t>
      </w:r>
    </w:p>
    <w:p>
      <w:pPr>
        <w:pStyle w:val="ListNumber"/>
        <w:keepLines w:val="1"/>
        <w:widowControl w:val="1"/>
      </w:pPr>
      <w:r>
        <w:t>Cultura y competencias.</w:t>
      </w:r>
    </w:p>
    <w:p>
      <w:r>
        <w:t>Cada bloque se construye sobre la base de:</w:t>
      </w:r>
    </w:p>
    <w:p>
      <w:pPr>
        <w:pStyle w:val="ListBullet"/>
        <w:keepLines w:val="1"/>
        <w:keepNext w:val="1"/>
        <w:widowControl w:val="1"/>
      </w:pPr>
      <w:r>
        <w:t xml:space="preserve">Cobertura ATT&amp;CK y calidad de detección, alineadas con los criterios de las evaluaciones MITRE 2025 (cobertura de técnicas, capacidad de protección, falsos positivos, detección temprana, cloud, identidad).[web:16][web:22][web:64][web:62][web:65]  </w:t>
      </w:r>
    </w:p>
    <w:p>
      <w:pPr>
        <w:pStyle w:val="ListBullet"/>
        <w:keepLines w:val="1"/>
        <w:widowControl w:val="1"/>
      </w:pPr>
      <w:r>
        <w:t>Mapeo de amenazas sectoriales y europeas, siguiendo los enfoques de ENISA para categorizar TTP.[web:66][web:43]</w:t>
      </w:r>
    </w:p>
    <w:p>
      <w:pPr>
        <w:pStyle w:val="Heading2"/>
        <w:keepNext/>
        <w:keepLines/>
      </w:pPr>
      <w:r>
        <w:rPr>
          <w:color w:val="0066CC"/>
        </w:rPr>
        <w:t>4. Escala de madurez</w:t>
      </w:r>
    </w:p>
    <w:p>
      <w:pPr>
        <w:pStyle w:val="Heading3"/>
        <w:keepNext/>
        <w:keepLines/>
      </w:pPr>
      <w:r>
        <w:t>4.1 Justificación</w:t>
      </w:r>
    </w:p>
    <w:p>
      <w:r>
        <w:t xml:space="preserve">La escala 0‑5 está inspirada en modelos de madurez y en los niveles de adopción práctica observados en organizaciones que integran ATT&amp;CK como “tejido conectivo” entre CTI, detección e IR.[web:29][web:66]  </w:t>
      </w:r>
    </w:p>
    <w:p>
      <w:pPr>
        <w:pStyle w:val="ListBullet"/>
        <w:keepLines w:val="1"/>
        <w:keepNext w:val="1"/>
        <w:widowControl w:val="1"/>
      </w:pPr>
      <w:r>
        <w:t xml:space="preserve">0: No aplica / sin relevancia.  </w:t>
      </w:r>
    </w:p>
    <w:p>
      <w:pPr>
        <w:pStyle w:val="ListBullet"/>
        <w:keepLines w:val="1"/>
        <w:keepNext w:val="1"/>
        <w:widowControl w:val="1"/>
      </w:pPr>
      <w:r>
        <w:t xml:space="preserve">1: No implementado.  </w:t>
      </w:r>
    </w:p>
    <w:p>
      <w:pPr>
        <w:pStyle w:val="ListBullet"/>
        <w:keepLines w:val="1"/>
        <w:keepNext w:val="1"/>
        <w:widowControl w:val="1"/>
      </w:pPr>
      <w:r>
        <w:t xml:space="preserve">2: Inicial/ad‑hoc.  </w:t>
      </w:r>
    </w:p>
    <w:p>
      <w:pPr>
        <w:pStyle w:val="ListBullet"/>
        <w:keepLines w:val="1"/>
        <w:keepNext w:val="1"/>
        <w:widowControl w:val="1"/>
      </w:pPr>
      <w:r>
        <w:t xml:space="preserve">3: Definido.  </w:t>
      </w:r>
    </w:p>
    <w:p>
      <w:pPr>
        <w:pStyle w:val="ListBullet"/>
        <w:keepLines w:val="1"/>
        <w:keepNext w:val="1"/>
        <w:widowControl w:val="1"/>
      </w:pPr>
      <w:r>
        <w:t xml:space="preserve">4: Gestionado/medido.  </w:t>
      </w:r>
    </w:p>
    <w:p>
      <w:pPr>
        <w:pStyle w:val="ListBullet"/>
        <w:keepLines w:val="1"/>
        <w:widowControl w:val="1"/>
      </w:pPr>
      <w:r>
        <w:t>5: Optimizado.</w:t>
      </w:r>
    </w:p>
    <w:p>
      <w:r>
        <w:t>Esta granularidad permite:</w:t>
      </w:r>
    </w:p>
    <w:p>
      <w:pPr>
        <w:pStyle w:val="ListBullet"/>
        <w:keepLines w:val="1"/>
        <w:keepNext w:val="1"/>
        <w:widowControl w:val="1"/>
      </w:pPr>
      <w:r>
        <w:t xml:space="preserve">Comparar unidades internas (p. ej., SOC corporativo vs. SOC OT).  </w:t>
      </w:r>
    </w:p>
    <w:p>
      <w:pPr>
        <w:pStyle w:val="ListBullet"/>
        <w:keepLines w:val="1"/>
        <w:keepNext w:val="1"/>
        <w:widowControl w:val="1"/>
      </w:pPr>
      <w:r>
        <w:t xml:space="preserve">Medir progreso interanual (antes/después de proyectos).  </w:t>
      </w:r>
    </w:p>
    <w:p>
      <w:pPr>
        <w:pStyle w:val="ListBullet"/>
        <w:keepLines w:val="1"/>
        <w:widowControl w:val="1"/>
      </w:pPr>
      <w:r>
        <w:t>Alimentar indicadores agregados (IGM).</w:t>
      </w:r>
    </w:p>
    <w:p>
      <w:pPr>
        <w:pStyle w:val="Heading2"/>
        <w:keepNext/>
        <w:keepLines/>
      </w:pPr>
      <w:r>
        <w:rPr>
          <w:color w:val="0066CC"/>
        </w:rPr>
        <w:t>5. Proceso de aplicación</w:t>
      </w:r>
    </w:p>
    <w:p>
      <w:pPr>
        <w:pStyle w:val="Heading3"/>
        <w:keepNext/>
        <w:keepLines/>
      </w:pPr>
      <w:r>
        <w:t>5.1 Preparación</w:t>
      </w:r>
    </w:p>
    <w:p>
      <w:pPr>
        <w:pStyle w:val="ListBullet"/>
        <w:keepLines w:val="1"/>
        <w:keepNext w:val="1"/>
        <w:widowControl w:val="1"/>
      </w:pPr>
      <w:r>
        <w:t xml:space="preserve">Identificar participantes: CISO, responsables de SOC, CTI, IR, negocio crítico.  </w:t>
      </w:r>
    </w:p>
    <w:p>
      <w:pPr>
        <w:pStyle w:val="ListBullet"/>
        <w:keepLines w:val="1"/>
        <w:keepNext w:val="1"/>
        <w:widowControl w:val="1"/>
      </w:pPr>
      <w:r>
        <w:t xml:space="preserve">Compartir la encuesta con antelación explicando propósito (no es un juicio sumarísimo).  </w:t>
      </w:r>
    </w:p>
    <w:p>
      <w:pPr>
        <w:pStyle w:val="ListBullet"/>
        <w:keepLines w:val="1"/>
        <w:widowControl w:val="1"/>
      </w:pPr>
      <w:r>
        <w:t>Acordar si las respuestas se consolidan en una única visión o se distinguen por unidad/país.</w:t>
      </w:r>
    </w:p>
    <w:p>
      <w:pPr>
        <w:pStyle w:val="Heading3"/>
        <w:keepNext/>
        <w:keepLines/>
      </w:pPr>
      <w:r>
        <w:t>5.2 Recogida de información</w:t>
      </w:r>
    </w:p>
    <w:p>
      <w:pPr>
        <w:pStyle w:val="ListBullet"/>
        <w:keepLines w:val="1"/>
        <w:keepNext w:val="1"/>
        <w:widowControl w:val="1"/>
      </w:pPr>
      <w:r>
        <w:t xml:space="preserve">Responder preferentemente de forma colectiva (workshop de 2–3 horas).  </w:t>
      </w:r>
    </w:p>
    <w:p>
      <w:pPr>
        <w:pStyle w:val="ListBullet"/>
        <w:keepLines w:val="1"/>
        <w:keepNext w:val="1"/>
        <w:widowControl w:val="1"/>
      </w:pPr>
      <w:r>
        <w:t xml:space="preserve">Para preguntas con potencial controversia (“¿tenemos esto realmente?”), pedir evidencias mínimas: documento, procedimiento, dashboard, informe de ejercicios.  </w:t>
      </w:r>
    </w:p>
    <w:p>
      <w:pPr>
        <w:pStyle w:val="ListBullet"/>
        <w:keepLines w:val="1"/>
        <w:widowControl w:val="1"/>
      </w:pPr>
      <w:r>
        <w:t>Registrar comentarios cualitativos para enriquecer la interpretación.</w:t>
      </w:r>
    </w:p>
    <w:p>
      <w:pPr>
        <w:pStyle w:val="Heading3"/>
        <w:keepNext/>
        <w:keepLines/>
      </w:pPr>
      <w:r>
        <w:t>5.3 Validación</w:t>
      </w:r>
    </w:p>
    <w:p>
      <w:pPr>
        <w:pStyle w:val="ListBullet"/>
        <w:keepLines w:val="1"/>
        <w:keepNext w:val="1"/>
        <w:widowControl w:val="1"/>
      </w:pPr>
      <w:r>
        <w:t xml:space="preserve">Contrastar la autoevaluación con datos objetivos cuando existan:  </w:t>
      </w:r>
    </w:p>
    <w:p>
      <w:pPr>
        <w:pStyle w:val="ListBullet"/>
        <w:keepLines w:val="1"/>
        <w:keepNext w:val="1"/>
        <w:widowControl w:val="1"/>
      </w:pPr>
      <w:r>
        <w:t xml:space="preserve">Resultados de evaluaciones MITRE‑style de proveedores.[web:16][web:22][web:59]  </w:t>
      </w:r>
    </w:p>
    <w:p>
      <w:pPr>
        <w:pStyle w:val="ListBullet"/>
        <w:keepLines w:val="1"/>
        <w:keepNext w:val="1"/>
        <w:widowControl w:val="1"/>
      </w:pPr>
      <w:r>
        <w:t xml:space="preserve">Informes de ejercicios de red teaming/purple teaming.[web:16][web:22]  </w:t>
      </w:r>
    </w:p>
    <w:p>
      <w:pPr>
        <w:pStyle w:val="ListBullet"/>
        <w:keepLines w:val="1"/>
        <w:widowControl w:val="1"/>
      </w:pPr>
      <w:r>
        <w:t>Dashboards de cobertura ATT&amp;CK.[web:23]</w:t>
      </w:r>
    </w:p>
    <w:p>
      <w:pPr>
        <w:pStyle w:val="Heading2"/>
        <w:keepNext/>
        <w:keepLines/>
      </w:pPr>
      <w:r>
        <w:rPr>
          <w:color w:val="0066CC"/>
        </w:rPr>
        <w:t>6. Cálculo del Índice Global de Madurez (IGM)</w:t>
      </w:r>
    </w:p>
    <w:p>
      <w:pPr>
        <w:pStyle w:val="Heading3"/>
        <w:keepNext/>
        <w:keepLines/>
      </w:pPr>
      <w:r>
        <w:t>6.1 Definición</w:t>
      </w:r>
    </w:p>
    <w:p>
      <w:r>
        <w:t>El IGM es una media ponderada de varios bloques:</w:t>
      </w:r>
    </w:p>
    <w:p>
      <w:pPr>
        <w:pStyle w:val="ListBullet"/>
        <w:keepLines w:val="1"/>
        <w:keepNext w:val="1"/>
        <w:widowControl w:val="1"/>
      </w:pPr>
      <w:r>
        <w:t xml:space="preserve">Gobierno y estrategia (G).  </w:t>
      </w:r>
    </w:p>
    <w:p>
      <w:pPr>
        <w:pStyle w:val="ListBullet"/>
        <w:keepLines w:val="1"/>
        <w:keepNext w:val="1"/>
        <w:widowControl w:val="1"/>
      </w:pPr>
      <w:r>
        <w:t xml:space="preserve">Cobertura de tácticas y técnicas (C).  </w:t>
      </w:r>
    </w:p>
    <w:p>
      <w:pPr>
        <w:pStyle w:val="ListBullet"/>
        <w:keepLines w:val="1"/>
        <w:keepNext w:val="1"/>
        <w:widowControl w:val="1"/>
      </w:pPr>
      <w:r>
        <w:t xml:space="preserve">Calidad de detección (Q).  </w:t>
      </w:r>
    </w:p>
    <w:p>
      <w:pPr>
        <w:pStyle w:val="ListBullet"/>
        <w:keepLines w:val="1"/>
        <w:keepNext w:val="1"/>
        <w:widowControl w:val="1"/>
      </w:pPr>
      <w:r>
        <w:t xml:space="preserve">Métricas temporales (T).  </w:t>
      </w:r>
    </w:p>
    <w:p>
      <w:pPr>
        <w:pStyle w:val="ListBullet"/>
        <w:keepLines w:val="1"/>
        <w:keepNext w:val="1"/>
        <w:widowControl w:val="1"/>
      </w:pPr>
      <w:r>
        <w:t xml:space="preserve">Amenazas/CTI (A).  </w:t>
      </w:r>
    </w:p>
    <w:p>
      <w:pPr>
        <w:pStyle w:val="ListBullet"/>
        <w:keepLines w:val="1"/>
        <w:keepNext w:val="1"/>
        <w:widowControl w:val="1"/>
      </w:pPr>
      <w:r>
        <w:t xml:space="preserve">Integración y procesos (I).  </w:t>
      </w:r>
    </w:p>
    <w:p>
      <w:pPr>
        <w:pStyle w:val="ListBullet"/>
        <w:keepLines w:val="1"/>
        <w:keepNext w:val="1"/>
        <w:widowControl w:val="1"/>
      </w:pPr>
      <w:r>
        <w:t xml:space="preserve">Ejercicios y mejora (E).  </w:t>
      </w:r>
    </w:p>
    <w:p>
      <w:pPr>
        <w:pStyle w:val="ListBullet"/>
        <w:keepLines w:val="1"/>
        <w:keepNext w:val="1"/>
        <w:widowControl w:val="1"/>
      </w:pPr>
      <w:r>
        <w:t xml:space="preserve">Economía y ROI (F).  </w:t>
      </w:r>
    </w:p>
    <w:p>
      <w:pPr>
        <w:pStyle w:val="ListBullet"/>
        <w:keepLines w:val="1"/>
        <w:widowControl w:val="1"/>
      </w:pPr>
      <w:r>
        <w:t>Cultura y competencias (H).</w:t>
      </w:r>
    </w:p>
    <w:p>
      <w:r>
        <w:t>Cada pregunta se valora de 0 a 5.</w:t>
      </w:r>
      <w:r/>
      <w:r>
        <w:br/>
        <w:t>Para cada bloque se calcula:</w:t>
      </w:r>
    </w:p>
    <w:p>
      <w:r>
        <w:t>[</w:t>
      </w:r>
      <w:r/>
      <w:r>
        <w:br/>
        <w:t>IGM_Bloque = \frac{\sum Puntuaciones_preguntas}{Número_de_preguntas}</w:t>
      </w:r>
      <w:r/>
      <w:r>
        <w:br/>
        <w:t xml:space="preserve">]  </w:t>
      </w:r>
    </w:p>
    <w:p>
      <w:r>
        <w:t>El IGM global se puede calcular con pesos:</w:t>
      </w:r>
    </w:p>
    <w:p>
      <w:r>
        <w:t>[</w:t>
      </w:r>
      <w:r/>
      <w:r>
        <w:br/>
        <w:t>IGM_Global = \sum (IGM_Bloque \times Peso_Bloque)</w:t>
      </w:r>
      <w:r/>
      <w:r>
        <w:br/>
        <w:t>]</w:t>
      </w:r>
    </w:p>
    <w:p>
      <w:r>
        <w:t>Ejemplo de pesos recomendados (flexibles):</w:t>
      </w:r>
    </w:p>
    <w:p>
      <w:pPr>
        <w:pStyle w:val="ListBullet"/>
        <w:keepLines w:val="1"/>
        <w:keepNext w:val="1"/>
        <w:widowControl w:val="1"/>
      </w:pPr>
      <w:r>
        <w:t xml:space="preserve">G: 15 %  </w:t>
      </w:r>
    </w:p>
    <w:p>
      <w:pPr>
        <w:pStyle w:val="ListBullet"/>
        <w:keepLines w:val="1"/>
        <w:keepNext w:val="1"/>
        <w:widowControl w:val="1"/>
      </w:pPr>
      <w:r>
        <w:t xml:space="preserve">C: 20 %  </w:t>
      </w:r>
    </w:p>
    <w:p>
      <w:pPr>
        <w:pStyle w:val="ListBullet"/>
        <w:keepLines w:val="1"/>
        <w:keepNext w:val="1"/>
        <w:widowControl w:val="1"/>
      </w:pPr>
      <w:r>
        <w:t xml:space="preserve">Q: 15 %  </w:t>
      </w:r>
    </w:p>
    <w:p>
      <w:pPr>
        <w:pStyle w:val="ListBullet"/>
        <w:keepLines w:val="1"/>
        <w:keepNext w:val="1"/>
        <w:widowControl w:val="1"/>
      </w:pPr>
      <w:r>
        <w:t xml:space="preserve">T: 10 %  </w:t>
      </w:r>
    </w:p>
    <w:p>
      <w:pPr>
        <w:pStyle w:val="ListBullet"/>
        <w:keepLines w:val="1"/>
        <w:keepNext w:val="1"/>
        <w:widowControl w:val="1"/>
      </w:pPr>
      <w:r>
        <w:t xml:space="preserve">A: 10 %  </w:t>
      </w:r>
    </w:p>
    <w:p>
      <w:pPr>
        <w:pStyle w:val="ListBullet"/>
        <w:keepLines w:val="1"/>
        <w:keepNext w:val="1"/>
        <w:widowControl w:val="1"/>
      </w:pPr>
      <w:r>
        <w:t xml:space="preserve">I: 10 %  </w:t>
      </w:r>
    </w:p>
    <w:p>
      <w:pPr>
        <w:pStyle w:val="ListBullet"/>
        <w:keepLines w:val="1"/>
        <w:keepNext w:val="1"/>
        <w:widowControl w:val="1"/>
      </w:pPr>
      <w:r>
        <w:t xml:space="preserve">E: 10 %  </w:t>
      </w:r>
    </w:p>
    <w:p>
      <w:pPr>
        <w:pStyle w:val="ListBullet"/>
        <w:keepLines w:val="1"/>
        <w:keepNext w:val="1"/>
        <w:widowControl w:val="1"/>
      </w:pPr>
      <w:r>
        <w:t xml:space="preserve">F: 5 %  </w:t>
      </w:r>
    </w:p>
    <w:p>
      <w:pPr>
        <w:pStyle w:val="ListBullet"/>
        <w:keepLines w:val="1"/>
        <w:widowControl w:val="1"/>
      </w:pPr>
      <w:r>
        <w:t>H: 5 %</w:t>
      </w:r>
    </w:p>
    <w:p>
      <w:pPr>
        <w:pStyle w:val="Heading2"/>
        <w:keepNext/>
        <w:keepLines/>
      </w:pPr>
      <w:r>
        <w:rPr>
          <w:color w:val="0066CC"/>
        </w:rPr>
        <w:t>7. Uso del ROI</w:t>
      </w:r>
    </w:p>
    <w:p>
      <w:r>
        <w:t>La guía propone:</w:t>
      </w:r>
    </w:p>
    <w:p>
      <w:pPr>
        <w:pStyle w:val="ListNumber"/>
        <w:keepLines w:val="1"/>
        <w:keepNext w:val="1"/>
        <w:widowControl w:val="1"/>
      </w:pPr>
      <w:r>
        <w:t xml:space="preserve">Estimar el riesgo base (pérdida anual esperada) a partir de datos sectoriales (p. ej. ENISA, informes industriales).[web:66][web:61]  </w:t>
      </w:r>
    </w:p>
    <w:p>
      <w:pPr>
        <w:pStyle w:val="ListNumber"/>
        <w:keepLines w:val="1"/>
        <w:keepNext w:val="1"/>
        <w:widowControl w:val="1"/>
      </w:pPr>
      <w:r>
        <w:t xml:space="preserve">Asociar mejoras de IGM con reducciones plausibles de probabilidad/impacto (p. ej., al mejorar detección temprana en tácticas de credenciales y movimiento lateral, se reduce probabilidad de incidentes mayores).[web:66][web:26]  </w:t>
      </w:r>
    </w:p>
    <w:p>
      <w:pPr>
        <w:pStyle w:val="ListNumber"/>
        <w:keepLines w:val="1"/>
        <w:widowControl w:val="1"/>
      </w:pPr>
      <w:r>
        <w:t>Calcular ROI aproximado:</w:t>
      </w:r>
    </w:p>
    <w:p>
      <w:r>
        <w:t>[</w:t>
      </w:r>
      <w:r/>
      <w:r>
        <w:br/>
        <w:t>ROI = \frac{Reducción_de_Riesgo_Esperado - Coste_Iniciativa}{Coste_Iniciativa}</w:t>
      </w:r>
      <w:r/>
      <w:r>
        <w:br/>
        <w:t>]</w:t>
      </w:r>
    </w:p>
    <w:p>
      <w:pPr>
        <w:pStyle w:val="Heading2"/>
        <w:keepNext/>
        <w:keepLines/>
      </w:pPr>
      <w:r>
        <w:rPr>
          <w:color w:val="0066CC"/>
        </w:rPr>
        <w:t>8. Interpretación de resultados</w:t>
      </w:r>
    </w:p>
    <w:p>
      <w:pPr>
        <w:pStyle w:val="ListBullet"/>
        <w:keepLines w:val="1"/>
        <w:keepNext w:val="1"/>
        <w:widowControl w:val="1"/>
      </w:pPr>
      <w:r>
        <w:t xml:space="preserve">IGM &lt; 2: adopción embrionaria; ATT&amp;CK vive, si acaso, en presentaciones.  </w:t>
      </w:r>
    </w:p>
    <w:p>
      <w:pPr>
        <w:pStyle w:val="ListBullet"/>
        <w:keepLines w:val="1"/>
        <w:keepNext w:val="1"/>
        <w:widowControl w:val="1"/>
      </w:pPr>
      <w:r>
        <w:t xml:space="preserve">2 ≤ IGM &lt; 3: organización en transición hacia un uso estructurado.  </w:t>
      </w:r>
    </w:p>
    <w:p>
      <w:pPr>
        <w:pStyle w:val="ListBullet"/>
        <w:keepLines w:val="1"/>
        <w:keepNext w:val="1"/>
        <w:widowControl w:val="1"/>
      </w:pPr>
      <w:r>
        <w:t xml:space="preserve">3 ≤ IGM &lt; 4: ATT&amp;CK integrado en SOC/IR, con métricas emergentes.  </w:t>
      </w:r>
    </w:p>
    <w:p>
      <w:pPr>
        <w:pStyle w:val="ListBullet"/>
        <w:keepLines w:val="1"/>
        <w:keepNext w:val="1"/>
        <w:widowControl w:val="1"/>
      </w:pPr>
      <w:r>
        <w:t xml:space="preserve">4 ≤ IGM &lt; 4,5: organización madura, con buena visibilidad y mejora continua.  </w:t>
      </w:r>
    </w:p>
    <w:p>
      <w:pPr>
        <w:pStyle w:val="ListBullet"/>
        <w:keepLines w:val="1"/>
        <w:widowControl w:val="1"/>
      </w:pPr>
      <w:r>
        <w:t>≥ 4,5: referencia avanzada; probablemente su SOC se sabe la matriz de memoria, para bien y para mal.</w:t>
      </w:r>
    </w:p>
    <w:p>
      <w:r>
        <w:t>Recomendación: acompañar el IGM de narrativas y gráficos que muestren:</w:t>
      </w:r>
    </w:p>
    <w:p>
      <w:pPr>
        <w:pStyle w:val="ListBullet"/>
        <w:keepLines w:val="1"/>
        <w:keepNext w:val="1"/>
        <w:widowControl w:val="1"/>
      </w:pPr>
      <w:r>
        <w:t xml:space="preserve">Tácticas más débiles.  </w:t>
      </w:r>
    </w:p>
    <w:p>
      <w:pPr>
        <w:pStyle w:val="ListBullet"/>
        <w:keepLines w:val="1"/>
        <w:keepNext w:val="1"/>
        <w:widowControl w:val="1"/>
      </w:pPr>
      <w:r>
        <w:t xml:space="preserve">Técnicas críticas sin cobertura.  </w:t>
      </w:r>
    </w:p>
    <w:p>
      <w:pPr>
        <w:pStyle w:val="ListBullet"/>
        <w:keepLines w:val="1"/>
        <w:keepNext w:val="1"/>
        <w:widowControl w:val="1"/>
      </w:pPr>
      <w:r>
        <w:t xml:space="preserve">Brechas entre cobertura declarada y validada.  </w:t>
      </w:r>
    </w:p>
    <w:p>
      <w:pPr>
        <w:pStyle w:val="ListBullet"/>
        <w:keepLines w:val="1"/>
        <w:widowControl w:val="1"/>
      </w:pPr>
      <w:r>
        <w:t>Evolución temporal del IGM.</w:t>
      </w:r>
    </w:p>
    <w:p>
      <w:pPr>
        <w:pStyle w:val="Heading2"/>
        <w:keepNext/>
        <w:keepLines/>
      </w:pPr>
      <w:r>
        <w:rPr>
          <w:color w:val="0066CC"/>
        </w:rPr>
        <w:t>9. Limitaciones y buenas prácticas</w:t>
      </w:r>
    </w:p>
    <w:p>
      <w:pPr>
        <w:pStyle w:val="ListBullet"/>
        <w:keepLines w:val="1"/>
        <w:keepNext w:val="1"/>
        <w:widowControl w:val="1"/>
      </w:pPr>
      <w:r>
        <w:t xml:space="preserve">La encuesta es auto‑declarativa; el sesgo de optimismo es un clásico.  </w:t>
      </w:r>
    </w:p>
    <w:p>
      <w:pPr>
        <w:pStyle w:val="ListBullet"/>
        <w:keepLines w:val="1"/>
        <w:keepNext w:val="1"/>
        <w:widowControl w:val="1"/>
      </w:pPr>
      <w:r>
        <w:t xml:space="preserve">Es recomendable complementarla con ejercicios prácticos, resultados de evaluaciones y análisis de incidentes.[web:16][web:22][web:66]  </w:t>
      </w:r>
    </w:p>
    <w:p>
      <w:pPr>
        <w:pStyle w:val="ListBullet"/>
        <w:keepLines w:val="1"/>
        <w:widowControl w:val="1"/>
      </w:pPr>
      <w:r>
        <w:t>MITRE ATT&amp;CK no es un estándar normativo, sino una base de conocimiento; conviene integrarlo con marcos de gestión de riesgo (NIST CSF, ISO 27001, ENS, DORA, etc.) y con las amenazas sectoriales europeas.[web:66][web:52]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