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 la Encuesta MITRE ATT&amp;CK</w:t>
      </w:r>
    </w:p>
    <w:p>
      <w:pPr>
        <w:pStyle w:val="Heading2"/>
        <w:keepNext/>
        <w:keepLines/>
      </w:pPr>
      <w:r>
        <w:rPr>
          <w:color w:val="0066CC"/>
        </w:rPr>
        <w:t>1. Por qué una encuesta sobre MITRE ATT&amp;CK</w:t>
      </w:r>
    </w:p>
    <w:p>
      <w:r>
        <w:t>MITRE ATT&amp;CK se ha convertido en la gramática común de las amenazas: describe cómo piensan y actúan los adversarios, táctica a táctica, técnica a técnica.[web:3][web:29][web:66]</w:t>
      </w:r>
      <w:r/>
      <w:r>
        <w:br/>
        <w:t xml:space="preserve">Desde 2025 la conversación ha cambiado: no basta con decir “tenemos firewalls”; hay que poder afirmar “vemos y entendemos estas rutas de ataque y estas otras no tanto”.[web:16][web:22][web:64]  </w:t>
      </w:r>
    </w:p>
    <w:p>
      <w:r>
        <w:t>La encuesta pretende capturar precisamente eso: cuánto ha penetrado ATT&amp;CK en la forma en que la organización diseña, opera y mide su defensa.</w:t>
      </w:r>
    </w:p>
    <w:p>
      <w:pPr>
        <w:pStyle w:val="Heading2"/>
        <w:keepNext/>
        <w:keepLines/>
      </w:pPr>
      <w:r>
        <w:rPr>
          <w:color w:val="0066CC"/>
        </w:rPr>
        <w:t>2. De la matriz en la pared a la métrica en el panel</w:t>
      </w:r>
    </w:p>
    <w:p>
      <w:r>
        <w:t>Las evaluaciones MITRE ATT&amp;CK Enterprise de 2025 han consolidado indicadores como:</w:t>
      </w:r>
      <w:r/>
      <w:r>
        <w:br/>
        <w:t>- Cobertura de técnicas.</w:t>
      </w:r>
      <w:r/>
      <w:r>
        <w:br/>
        <w:t>- Capacidad de protección.</w:t>
      </w:r>
      <w:r/>
      <w:r>
        <w:br/>
        <w:t>- Tiempos de detección.</w:t>
      </w:r>
      <w:r/>
      <w:r>
        <w:br/>
        <w:t>- Falsos positivos y calidad de las alertas.[web:16][web:22][web:60][web:64]</w:t>
      </w:r>
    </w:p>
    <w:p>
      <w:r>
        <w:t xml:space="preserve">Simultáneamente, ENISA y las agencias europeas han aumentado el uso de ATT&amp;CK para describir TTP en sus Threat Landscapes, especialmente en sectores como administración pública, OT e infraestructuras críticas.[web:66][web:43][web:61][web:63]  </w:t>
      </w:r>
    </w:p>
    <w:p>
      <w:r>
        <w:t>La encuesta nace en ese cruce: un lenguaje técnico común y una necesidad política y económica de medir.</w:t>
      </w:r>
    </w:p>
    <w:p>
      <w:pPr>
        <w:pStyle w:val="Heading2"/>
        <w:keepNext/>
        <w:keepLines/>
      </w:pPr>
      <w:r>
        <w:rPr>
          <w:color w:val="0066CC"/>
        </w:rPr>
        <w:t>3. Qué se quiere medir realmente</w:t>
      </w:r>
    </w:p>
    <w:p>
      <w:r>
        <w:t>La encuesta se centra en tres grandes preguntas disfrazadas de muchas pequeñas:</w:t>
      </w:r>
    </w:p>
    <w:p>
      <w:pPr>
        <w:pStyle w:val="ListNumber"/>
        <w:keepLines w:val="1"/>
        <w:keepNext w:val="1"/>
        <w:widowControl w:val="1"/>
      </w:pPr>
      <w:r>
        <w:t xml:space="preserve">¿Qué tanto ve la organización? </w:t>
      </w:r>
    </w:p>
    <w:p>
      <w:pPr>
        <w:pStyle w:val="ListNumber"/>
        <w:keepLines w:val="1"/>
        <w:keepNext w:val="1"/>
        <w:widowControl w:val="1"/>
      </w:pPr>
      <w:r>
        <w:t xml:space="preserve">Cobertura de tácticas y técnicas.  </w:t>
      </w:r>
    </w:p>
    <w:p>
      <w:pPr>
        <w:pStyle w:val="ListNumber"/>
        <w:keepLines w:val="1"/>
        <w:keepNext w:val="1"/>
        <w:widowControl w:val="1"/>
      </w:pPr>
      <w:r>
        <w:br/>
        <w:t>Profundidad de la detección: ¿sólo síntomas burdos o también señales sutiles?[web:16][web:22][web:26]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¿Qué tan bien reacciona? </w:t>
        <w:br/>
      </w:r>
    </w:p>
    <w:p>
      <w:pPr>
        <w:pStyle w:val="ListNumber"/>
        <w:keepLines w:val="1"/>
        <w:keepNext w:val="1"/>
        <w:widowControl w:val="1"/>
      </w:pPr>
      <w:r>
        <w:t xml:space="preserve">Tiempos de detección, contención y recuperación.  </w:t>
      </w:r>
    </w:p>
    <w:p>
      <w:pPr>
        <w:pStyle w:val="ListNumber"/>
        <w:keepLines w:val="1"/>
        <w:keepNext w:val="1"/>
        <w:widowControl w:val="1"/>
      </w:pPr>
      <w:r>
        <w:br/>
        <w:t>Uso de ATT&amp;CK en los procesos de respuesta, aprendizaje y mejora.[web:26][web:66]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¿Qué tanto se gobierna y se justifica? </w:t>
        <w:br/>
      </w:r>
    </w:p>
    <w:p>
      <w:pPr>
        <w:pStyle w:val="ListNumber"/>
        <w:keepLines w:val="1"/>
        <w:keepNext w:val="1"/>
        <w:widowControl w:val="1"/>
      </w:pPr>
      <w:r>
        <w:t xml:space="preserve">Cómo ATT&amp;CK influye en decisiones de inversión.  </w:t>
      </w:r>
    </w:p>
    <w:p>
      <w:pPr>
        <w:pStyle w:val="ListNumber"/>
        <w:keepLines w:val="1"/>
        <w:widowControl w:val="1"/>
      </w:pPr>
      <w:r>
        <w:t>Cómo se traduce en KPIs, en informes a la dirección, en ROI.[web:29][web:50][web:53]</w:t>
      </w:r>
    </w:p>
    <w:p>
      <w:r>
        <w:t>Profundidad de la detección: ¿sólo síntomas burdos o también señales sutiles?[web:16][web:22][web:26]</w:t>
      </w:r>
    </w:p>
    <w:p>
      <w:r>
        <w:rPr>
          <w:b/>
        </w:rPr>
        <w:t>¿Qué tan bien reacciona?</w:t>
      </w:r>
      <w:r>
        <w:t xml:space="preserve"> </w:t>
      </w:r>
    </w:p>
    <w:p>
      <w:r>
        <w:t>Uso de ATT&amp;CK en los procesos de respuesta, aprendizaje y mejora.[web:26][web:66]</w:t>
      </w:r>
    </w:p>
    <w:p>
      <w:r>
        <w:rPr>
          <w:b/>
        </w:rPr>
        <w:t>¿Qué tanto se gobierna y se justifica?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4. Tono y espíritu</w:t>
      </w:r>
    </w:p>
    <w:p>
      <w:r>
        <w:t>El tono de la encuesta es deliberadamente irónico, pero no cínico.</w:t>
      </w:r>
      <w:r/>
      <w:r>
        <w:br/>
        <w:t>La ironía ayuda a admitir verdades incómodas:</w:t>
      </w:r>
      <w:r/>
      <w:r>
        <w:br/>
        <w:t>- El SOC que sólo mira “lo que salta” y no lo que falta.</w:t>
      </w:r>
      <w:r/>
      <w:r>
        <w:br/>
        <w:t xml:space="preserve">- El tablero de ATT&amp;CK impoluto en la presentación, pero desalineado con la realidad del tráfico.  </w:t>
      </w:r>
    </w:p>
    <w:p>
      <w:r>
        <w:t>La intención es propositiva: hacer visibles las brechas para que puedan cerrarse, no para enumerar culpas.</w:t>
      </w:r>
    </w:p>
    <w:p>
      <w:pPr>
        <w:pStyle w:val="Heading2"/>
        <w:keepNext/>
        <w:keepLines/>
      </w:pPr>
      <w:r>
        <w:rPr>
          <w:color w:val="0066CC"/>
        </w:rPr>
        <w:t>5. Cómo leer las respuestas</w:t>
      </w:r>
    </w:p>
    <w:p>
      <w:r>
        <w:t>La lectura recomendada:</w:t>
      </w:r>
    </w:p>
    <w:p>
      <w:pPr>
        <w:pStyle w:val="ListBullet"/>
        <w:keepLines w:val="1"/>
        <w:keepNext w:val="1"/>
        <w:widowControl w:val="1"/>
      </w:pPr>
      <w:r>
        <w:t>No obsesionarse con el número absoluto, sino con:</w:t>
      </w:r>
    </w:p>
    <w:p>
      <w:pPr>
        <w:pStyle w:val="ListBullet"/>
        <w:keepLines w:val="1"/>
        <w:keepNext w:val="1"/>
        <w:widowControl w:val="1"/>
      </w:pPr>
      <w:r>
        <w:t xml:space="preserve">Los bloques más débiles.  </w:t>
      </w:r>
    </w:p>
    <w:p>
      <w:pPr>
        <w:pStyle w:val="ListBullet"/>
        <w:keepLines w:val="1"/>
        <w:keepNext w:val="1"/>
        <w:widowControl w:val="1"/>
      </w:pPr>
      <w:r>
        <w:t xml:space="preserve">Las incoherencias (por ejemplo, alta madurez en gobierno, pero sin métricas temporales mínimamente decentes).  </w:t>
      </w:r>
    </w:p>
    <w:p>
      <w:pPr>
        <w:pStyle w:val="ListBullet"/>
        <w:keepLines w:val="1"/>
        <w:keepNext w:val="1"/>
        <w:widowControl w:val="1"/>
      </w:pPr>
      <w:r>
        <w:t>Identificar:</w:t>
      </w:r>
    </w:p>
    <w:p>
      <w:pPr>
        <w:pStyle w:val="ListBullet"/>
        <w:keepLines w:val="1"/>
        <w:keepNext w:val="1"/>
        <w:widowControl w:val="1"/>
      </w:pPr>
      <w:r>
        <w:t xml:space="preserve">Técnicas críticas del sector sin cobertura (por ejemplo, credenciales y movimiento lateral en entornos OT, o phishing y BEC en administración).[web:66][web:61][web:63]  </w:t>
      </w:r>
    </w:p>
    <w:p>
      <w:pPr>
        <w:pStyle w:val="ListBullet"/>
        <w:keepLines w:val="1"/>
        <w:widowControl w:val="1"/>
      </w:pPr>
      <w:r>
        <w:t>Dependencias excesivas de proveedores con buena nota MITRE, pero sin integración adecuada en procesos internos.[web:16][web:22][web:65]</w:t>
      </w:r>
    </w:p>
    <w:p>
      <w:pPr>
        <w:pStyle w:val="Heading2"/>
        <w:keepNext/>
        <w:keepLines/>
      </w:pPr>
      <w:r>
        <w:rPr>
          <w:color w:val="0066CC"/>
        </w:rPr>
        <w:t>6. Y después, ¿qué?</w:t>
      </w:r>
    </w:p>
    <w:p>
      <w:r>
        <w:t>Idealmente, la encuesta se convierte en:</w:t>
      </w:r>
    </w:p>
    <w:p>
      <w:pPr>
        <w:pStyle w:val="ListBullet"/>
        <w:keepLines w:val="1"/>
        <w:keepNext w:val="1"/>
        <w:widowControl w:val="1"/>
      </w:pPr>
      <w:r>
        <w:t>Punto de partida de un plan de mejora con proyectos concretos:</w:t>
      </w:r>
    </w:p>
    <w:p>
      <w:pPr>
        <w:pStyle w:val="ListBullet"/>
        <w:keepLines w:val="1"/>
        <w:keepNext w:val="1"/>
        <w:widowControl w:val="1"/>
      </w:pPr>
      <w:r>
        <w:t xml:space="preserve">Incrementar cobertura en técnicas “rojas” del sector.  </w:t>
      </w:r>
    </w:p>
    <w:p>
      <w:pPr>
        <w:pStyle w:val="ListBullet"/>
        <w:keepLines w:val="1"/>
        <w:keepNext w:val="1"/>
        <w:widowControl w:val="1"/>
      </w:pPr>
      <w:r>
        <w:t xml:space="preserve">Reducir MTTD y MTTC en cadenas de ataque frecuentes.[web:26][web:66]  </w:t>
      </w:r>
    </w:p>
    <w:p>
      <w:pPr>
        <w:pStyle w:val="ListBullet"/>
        <w:keepLines w:val="1"/>
        <w:keepNext w:val="1"/>
        <w:widowControl w:val="1"/>
      </w:pPr>
      <w:r>
        <w:t>Base cuantitativa para:</w:t>
      </w:r>
    </w:p>
    <w:p>
      <w:pPr>
        <w:pStyle w:val="ListBullet"/>
        <w:keepLines w:val="1"/>
        <w:keepNext w:val="1"/>
        <w:widowControl w:val="1"/>
      </w:pPr>
      <w:r>
        <w:t xml:space="preserve">Comparación interanual.  </w:t>
      </w:r>
    </w:p>
    <w:p>
      <w:pPr>
        <w:pStyle w:val="ListBullet"/>
        <w:keepLines w:val="1"/>
        <w:keepNext w:val="1"/>
        <w:widowControl w:val="1"/>
      </w:pPr>
      <w:r>
        <w:t xml:space="preserve">Benchmark interno entre unidades o países.  </w:t>
      </w:r>
    </w:p>
    <w:p>
      <w:pPr>
        <w:pStyle w:val="ListBullet"/>
        <w:keepLines w:val="1"/>
        <w:widowControl w:val="1"/>
      </w:pPr>
      <w:r>
        <w:t>Preparación de informes regulatorios o de consejo.</w:t>
      </w:r>
    </w:p>
    <w:p>
      <w:r>
        <w:t>Si al final del ejercicio la organización pasa de “tenemos algo de ATT&amp;CK” a “tenemos claros nuestros puntos ciegos y cómo atacarlos”, se habrá ganado la partida… o al menos la campaña.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