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Excel (Descripción) – Cálculo de IGM y ROI con GQM + PRAGMATIC</w:t>
      </w:r>
    </w:p>
    <w:p>
      <w:pPr>
        <w:pStyle w:val="Heading2"/>
        <w:keepNext/>
        <w:keepLines/>
      </w:pPr>
      <w:r>
        <w:rPr>
          <w:color w:val="0066CC"/>
        </w:rPr>
        <w:t>1. Hojas recomendadas</w:t>
      </w:r>
    </w:p>
    <w:p>
      <w:pPr>
        <w:pStyle w:val="ListBullet"/>
        <w:keepLines w:val="1"/>
        <w:keepNext w:val="1"/>
        <w:widowControl w:val="1"/>
      </w:pPr>
      <w:r>
        <w:t xml:space="preserve">Hoja 1 – Métricas ATT&amp;CK (valores por organización/sector/país).  </w:t>
      </w:r>
    </w:p>
    <w:p>
      <w:pPr>
        <w:pStyle w:val="ListBullet"/>
        <w:keepLines w:val="1"/>
        <w:keepNext w:val="1"/>
        <w:widowControl w:val="1"/>
      </w:pPr>
      <w:r>
        <w:t xml:space="preserve">Hoja 2 – PRAGMATIC (puntuación de calidad de cada métrica).  </w:t>
      </w:r>
    </w:p>
    <w:p>
      <w:pPr>
        <w:pStyle w:val="ListBullet"/>
        <w:keepLines w:val="1"/>
        <w:keepNext w:val="1"/>
        <w:widowControl w:val="1"/>
      </w:pPr>
      <w:r>
        <w:t xml:space="preserve">Hoja 3 – IGM (Índice Global de Madurez).  </w:t>
      </w:r>
    </w:p>
    <w:p>
      <w:pPr>
        <w:pStyle w:val="ListBullet"/>
        <w:keepLines w:val="1"/>
        <w:keepNext w:val="1"/>
        <w:widowControl w:val="1"/>
      </w:pPr>
      <w:r>
        <w:t xml:space="preserve">Hoja 4 – ROI de iniciativas ATT&amp;CK‑driven.  </w:t>
      </w:r>
    </w:p>
    <w:p>
      <w:pPr>
        <w:pStyle w:val="ListBullet"/>
        <w:keepLines w:val="1"/>
        <w:widowControl w:val="1"/>
      </w:pPr>
      <w:r>
        <w:t>Hoja 5 – Resumen Ejecutivo / Gráficos.</w:t>
      </w:r>
    </w:p>
    <w:p>
      <w:pPr>
        <w:pStyle w:val="Heading2"/>
        <w:keepNext/>
        <w:keepLines/>
      </w:pPr>
      <w:r>
        <w:rPr>
          <w:color w:val="0066CC"/>
        </w:rPr>
        <w:t>2. Hoja 1 – Métricas ATT&amp;CK</w:t>
      </w:r>
    </w:p>
    <w:p>
      <w:r>
        <w:t>Columnas:</w:t>
      </w:r>
    </w:p>
    <w:p>
      <w:pPr>
        <w:pStyle w:val="ListBullet"/>
        <w:keepLines w:val="1"/>
        <w:keepNext w:val="1"/>
        <w:widowControl w:val="1"/>
      </w:pPr>
      <w:r>
        <w:t xml:space="preserve">A: ID Métrica (I1, I2, I3, … I11).  </w:t>
      </w:r>
    </w:p>
    <w:p>
      <w:pPr>
        <w:pStyle w:val="ListBullet"/>
        <w:keepLines w:val="1"/>
        <w:keepNext w:val="1"/>
        <w:widowControl w:val="1"/>
      </w:pPr>
      <w:r>
        <w:t xml:space="preserve">B: Nombre (p. ej. Cobertura tácticas prioritarias).  </w:t>
      </w:r>
    </w:p>
    <w:p>
      <w:pPr>
        <w:pStyle w:val="ListBullet"/>
        <w:keepLines w:val="1"/>
        <w:keepNext w:val="1"/>
        <w:widowControl w:val="1"/>
      </w:pPr>
      <w:r>
        <w:t xml:space="preserve">C: Unidad de medida (%, horas, índice, etc.).  </w:t>
      </w:r>
    </w:p>
    <w:p>
      <w:pPr>
        <w:pStyle w:val="ListBullet"/>
        <w:keepLines w:val="1"/>
        <w:keepNext w:val="1"/>
        <w:widowControl w:val="1"/>
      </w:pPr>
      <w:r>
        <w:t xml:space="preserve">D: Valor actual (organización/sector/país).  </w:t>
      </w:r>
    </w:p>
    <w:p>
      <w:pPr>
        <w:pStyle w:val="ListBullet"/>
        <w:keepLines w:val="1"/>
        <w:keepNext w:val="1"/>
        <w:widowControl w:val="1"/>
      </w:pPr>
      <w:r>
        <w:t xml:space="preserve">E: Valor objetivo.  </w:t>
      </w:r>
    </w:p>
    <w:p>
      <w:pPr>
        <w:pStyle w:val="ListBullet"/>
        <w:keepLines w:val="1"/>
        <w:keepNext w:val="1"/>
        <w:widowControl w:val="1"/>
      </w:pPr>
      <w:r>
        <w:t xml:space="preserve">F: Brecha (Fórmula: =E2-D2).  </w:t>
      </w:r>
    </w:p>
    <w:p>
      <w:pPr>
        <w:pStyle w:val="ListBullet"/>
        <w:keepLines w:val="1"/>
        <w:widowControl w:val="1"/>
      </w:pPr>
      <w:r>
        <w:t>G: Observaciones.</w:t>
      </w:r>
    </w:p>
    <w:p>
      <w:r>
        <w:t>Cada fila = una métrica (I1–I11).</w:t>
      </w:r>
    </w:p>
    <w:p>
      <w:pPr>
        <w:pStyle w:val="Heading2"/>
        <w:keepNext/>
        <w:keepLines/>
      </w:pPr>
      <w:r>
        <w:rPr>
          <w:color w:val="0066CC"/>
        </w:rPr>
        <w:t>3. Hoja 2 – PRAGMATIC</w:t>
      </w:r>
    </w:p>
    <w:p>
      <w:r>
        <w:t>Columnas:</w:t>
      </w:r>
    </w:p>
    <w:p>
      <w:pPr>
        <w:pStyle w:val="ListBullet"/>
        <w:keepLines w:val="1"/>
        <w:keepNext w:val="1"/>
        <w:widowControl w:val="1"/>
      </w:pPr>
      <w:r>
        <w:t xml:space="preserve">A: ID Métrica (I1–I11).  </w:t>
      </w:r>
    </w:p>
    <w:p>
      <w:pPr>
        <w:pStyle w:val="ListBullet"/>
        <w:keepLines w:val="1"/>
        <w:keepNext w:val="1"/>
        <w:widowControl w:val="1"/>
      </w:pPr>
      <w:r>
        <w:t xml:space="preserve">B: Nombre.  </w:t>
      </w:r>
    </w:p>
    <w:p>
      <w:pPr>
        <w:pStyle w:val="ListBullet"/>
        <w:keepLines w:val="1"/>
        <w:keepNext w:val="1"/>
        <w:widowControl w:val="1"/>
      </w:pPr>
      <w:r>
        <w:t xml:space="preserve">C: P (Predictivo).  </w:t>
      </w:r>
    </w:p>
    <w:p>
      <w:pPr>
        <w:pStyle w:val="ListBullet"/>
        <w:keepLines w:val="1"/>
        <w:keepNext w:val="1"/>
        <w:widowControl w:val="1"/>
      </w:pPr>
      <w:r>
        <w:t xml:space="preserve">D: R (Relevante).  </w:t>
      </w:r>
    </w:p>
    <w:p>
      <w:pPr>
        <w:pStyle w:val="ListBullet"/>
        <w:keepLines w:val="1"/>
        <w:keepNext w:val="1"/>
        <w:widowControl w:val="1"/>
      </w:pPr>
      <w:r>
        <w:t xml:space="preserve">E: A (Accionable).  </w:t>
      </w:r>
    </w:p>
    <w:p>
      <w:pPr>
        <w:pStyle w:val="ListBullet"/>
        <w:keepLines w:val="1"/>
        <w:keepNext w:val="1"/>
        <w:widowControl w:val="1"/>
      </w:pPr>
      <w:r>
        <w:t xml:space="preserve">F: G (Genuino).  </w:t>
      </w:r>
    </w:p>
    <w:p>
      <w:pPr>
        <w:pStyle w:val="ListBullet"/>
        <w:keepLines w:val="1"/>
        <w:keepNext w:val="1"/>
        <w:widowControl w:val="1"/>
      </w:pPr>
      <w:r>
        <w:t xml:space="preserve">G: M (Meaningful).  </w:t>
      </w:r>
    </w:p>
    <w:p>
      <w:pPr>
        <w:pStyle w:val="ListBullet"/>
        <w:keepLines w:val="1"/>
        <w:keepNext w:val="1"/>
        <w:widowControl w:val="1"/>
      </w:pPr>
      <w:r>
        <w:t xml:space="preserve">H: P2 (Preciso).  </w:t>
      </w:r>
    </w:p>
    <w:p>
      <w:pPr>
        <w:pStyle w:val="ListBullet"/>
        <w:keepLines w:val="1"/>
        <w:keepNext w:val="1"/>
        <w:widowControl w:val="1"/>
      </w:pPr>
      <w:r>
        <w:t xml:space="preserve">I: T (Oportuno).  </w:t>
      </w:r>
    </w:p>
    <w:p>
      <w:pPr>
        <w:pStyle w:val="ListBullet"/>
        <w:keepLines w:val="1"/>
        <w:keepNext w:val="1"/>
        <w:widowControl w:val="1"/>
      </w:pPr>
      <w:r>
        <w:t xml:space="preserve">J: I2 (Independiente).  </w:t>
      </w:r>
    </w:p>
    <w:p>
      <w:pPr>
        <w:pStyle w:val="ListBullet"/>
        <w:keepLines w:val="1"/>
        <w:keepNext w:val="1"/>
        <w:widowControl w:val="1"/>
      </w:pPr>
      <w:r>
        <w:t xml:space="preserve">K: C (Cost‑effective).  </w:t>
      </w:r>
    </w:p>
    <w:p>
      <w:pPr>
        <w:pStyle w:val="ListBullet"/>
        <w:keepLines w:val="1"/>
        <w:keepNext w:val="1"/>
        <w:widowControl w:val="1"/>
      </w:pPr>
      <w:r>
        <w:t xml:space="preserve">L: Total PRAGMATIC (0–45).  </w:t>
      </w:r>
    </w:p>
    <w:p>
      <w:pPr>
        <w:pStyle w:val="ListBullet"/>
        <w:keepLines w:val="1"/>
        <w:widowControl w:val="1"/>
      </w:pPr>
      <w:r>
        <w:t>M: Media PRAGMATIC (0–5).</w:t>
      </w:r>
    </w:p>
    <w:p>
      <w:r>
        <w:t>Fórmulas:</w:t>
      </w:r>
    </w:p>
    <w:p>
      <w:pPr>
        <w:pStyle w:val="ListBullet"/>
        <w:keepLines w:val="1"/>
        <w:keepNext w:val="1"/>
        <w:widowControl w:val="1"/>
      </w:pPr>
      <w:r>
        <w:t xml:space="preserve">En L2: =SUMA(C2:K2) </w:t>
      </w:r>
    </w:p>
    <w:p>
      <w:pPr>
        <w:pStyle w:val="ListBullet"/>
        <w:keepLines w:val="1"/>
        <w:widowControl w:val="1"/>
      </w:pPr>
      <w:r>
        <w:t>En M2: =L2/9</w:t>
      </w:r>
    </w:p>
    <w:p>
      <w:r>
        <w:t xml:space="preserve">Se puede añadir una columna </w:t>
      </w:r>
      <w:r>
        <w:rPr>
          <w:b/>
        </w:rPr>
        <w:t>N: Peso PRAGMATIC</w:t>
      </w:r>
      <w:r>
        <w:t xml:space="preserve"> (normalización), por ejemplo:</w:t>
      </w:r>
    </w:p>
    <w:p>
      <w:pPr>
        <w:pStyle w:val="ListBullet"/>
        <w:keepLines w:val="1"/>
        <w:keepNext w:val="1"/>
        <w:widowControl w:val="1"/>
      </w:pPr>
      <w:r>
        <w:t xml:space="preserve">Calcular suma total de M (medias PRAGMATIC) en una celda (por ejemplo M15): =SUMA(M2:M12) </w:t>
      </w:r>
    </w:p>
    <w:p>
      <w:pPr>
        <w:pStyle w:val="ListBullet"/>
        <w:keepLines w:val="1"/>
        <w:widowControl w:val="1"/>
      </w:pPr>
      <w:r>
        <w:t>En N2: =M2/$M$15</w:t>
      </w:r>
    </w:p>
    <w:p>
      <w:r>
        <w:t>Esto permite ponderar el IGM por la “calidad” de cada métrica.</w:t>
      </w:r>
    </w:p>
    <w:p>
      <w:pPr>
        <w:pStyle w:val="Heading2"/>
        <w:keepNext/>
        <w:keepLines/>
      </w:pPr>
      <w:r>
        <w:rPr>
          <w:color w:val="0066CC"/>
        </w:rPr>
        <w:t>4. Hoja 3 – IGM (Índice Global de Madurez)</w:t>
      </w:r>
    </w:p>
    <w:p>
      <w:pPr>
        <w:pStyle w:val="Heading3"/>
        <w:keepNext/>
        <w:keepLines/>
      </w:pPr>
      <w:r>
        <w:t>4.1 Estructura</w:t>
      </w:r>
    </w:p>
    <w:p>
      <w:pPr>
        <w:pStyle w:val="ListBullet"/>
        <w:keepLines w:val="1"/>
        <w:keepNext w:val="1"/>
        <w:widowControl w:val="1"/>
      </w:pPr>
      <w:r>
        <w:t xml:space="preserve">A: ID Métrica (I1–I11).  </w:t>
      </w:r>
    </w:p>
    <w:p>
      <w:pPr>
        <w:pStyle w:val="ListBullet"/>
        <w:keepLines w:val="1"/>
        <w:keepNext w:val="1"/>
        <w:widowControl w:val="1"/>
      </w:pPr>
      <w:r>
        <w:t xml:space="preserve">B: Nombre.  </w:t>
      </w:r>
    </w:p>
    <w:p>
      <w:pPr>
        <w:pStyle w:val="ListBullet"/>
        <w:keepLines w:val="1"/>
        <w:keepNext w:val="1"/>
        <w:widowControl w:val="1"/>
      </w:pPr>
      <w:r>
        <w:t xml:space="preserve">C: Valor actual (replicado de Hoja 1).  </w:t>
      </w:r>
    </w:p>
    <w:p>
      <w:pPr>
        <w:pStyle w:val="ListBullet"/>
        <w:keepLines w:val="1"/>
        <w:keepNext w:val="1"/>
        <w:widowControl w:val="1"/>
      </w:pPr>
      <w:r>
        <w:t xml:space="preserve">D: Normalización (si es necesario, p. ej., pasar % a escala 0–5).  </w:t>
      </w:r>
    </w:p>
    <w:p>
      <w:pPr>
        <w:pStyle w:val="ListBullet"/>
        <w:keepLines w:val="1"/>
        <w:keepNext w:val="1"/>
        <w:widowControl w:val="1"/>
      </w:pPr>
      <w:r>
        <w:t xml:space="preserve">E: Peso GQM (importancia estratégica, 0–1).  </w:t>
      </w:r>
    </w:p>
    <w:p>
      <w:pPr>
        <w:pStyle w:val="ListBullet"/>
        <w:keepLines w:val="1"/>
        <w:keepNext w:val="1"/>
        <w:widowControl w:val="1"/>
      </w:pPr>
      <w:r>
        <w:t xml:space="preserve">F: Peso PRAGMATIC (desde Hoja 2, columna N).  </w:t>
      </w:r>
    </w:p>
    <w:p>
      <w:pPr>
        <w:pStyle w:val="ListBullet"/>
        <w:keepLines w:val="1"/>
        <w:keepNext w:val="1"/>
        <w:widowControl w:val="1"/>
      </w:pPr>
      <w:r>
        <w:t xml:space="preserve">G: Peso combinado = E × F.  </w:t>
      </w:r>
    </w:p>
    <w:p>
      <w:pPr>
        <w:pStyle w:val="ListBullet"/>
        <w:keepLines w:val="1"/>
        <w:widowControl w:val="1"/>
      </w:pPr>
      <w:r>
        <w:t>H: Contribución = D × G.</w:t>
      </w:r>
    </w:p>
    <w:p>
      <w:pPr>
        <w:pStyle w:val="Heading3"/>
        <w:keepNext/>
        <w:keepLines/>
      </w:pPr>
      <w:r>
        <w:t>4.2 Fórmulas ejemplo</w:t>
      </w:r>
    </w:p>
    <w:p>
      <w:pPr>
        <w:pStyle w:val="ListBullet"/>
        <w:keepLines w:val="1"/>
        <w:keepNext w:val="1"/>
        <w:widowControl w:val="1"/>
      </w:pPr>
      <w:r>
        <w:br/>
        <w:t>D2: Normalización (ejemplo para una métrica % con objetivo 100 %):</w:t>
        <w:br/>
        <w:t xml:space="preserve">=MIN(5; (C2/100)*5) </w:t>
        <w:br/>
      </w:r>
    </w:p>
    <w:p>
      <w:pPr>
        <w:pStyle w:val="ListBullet"/>
        <w:keepLines w:val="1"/>
        <w:keepNext w:val="1"/>
        <w:widowControl w:val="1"/>
      </w:pPr>
      <w:r>
        <w:br/>
        <w:t xml:space="preserve">G2: =E2*F2 </w:t>
        <w:br/>
      </w:r>
    </w:p>
    <w:p>
      <w:pPr>
        <w:pStyle w:val="ListBullet"/>
        <w:keepLines w:val="1"/>
        <w:widowControl w:val="1"/>
      </w:pPr>
      <w:r>
        <w:br/>
        <w:t xml:space="preserve">H2: =D2*G2 </w:t>
        <w:br/>
      </w:r>
    </w:p>
    <w:p>
      <w:r>
        <w:t>D2: Normalización (ejemplo para una métrica % con objetivo 100 %):</w:t>
      </w:r>
      <w:r/>
      <w:r>
        <w:br/>
      </w:r>
      <w:r>
        <w:rPr>
          <w:rFonts w:ascii="Courier New" w:hAnsi="Courier New"/>
          <w:sz w:val="18"/>
        </w:rPr>
        <w:t>=MIN(5; (C2/100)*5)</w:t>
      </w:r>
      <w:r>
        <w:t xml:space="preserve"> </w:t>
      </w:r>
    </w:p>
    <w:p>
      <w:r>
        <w:t xml:space="preserve">G2: </w:t>
      </w:r>
      <w:r>
        <w:rPr>
          <w:rFonts w:ascii="Courier New" w:hAnsi="Courier New"/>
          <w:sz w:val="18"/>
        </w:rPr>
        <w:t>=E2*F2</w:t>
      </w:r>
      <w:r>
        <w:t xml:space="preserve"> </w:t>
      </w:r>
    </w:p>
    <w:p>
      <w:r>
        <w:t xml:space="preserve">H2: </w:t>
      </w:r>
      <w:r>
        <w:rPr>
          <w:rFonts w:ascii="Courier New" w:hAnsi="Courier New"/>
          <w:sz w:val="18"/>
        </w:rPr>
        <w:t>=D2*G2</w:t>
      </w:r>
      <w:r>
        <w:t xml:space="preserve"> </w:t>
      </w:r>
    </w:p>
    <w:p>
      <w:r>
        <w:t xml:space="preserve">El </w:t>
      </w:r>
      <w:r>
        <w:rPr>
          <w:b/>
        </w:rPr>
        <w:t>IGM Global</w:t>
      </w:r>
      <w:r>
        <w:t xml:space="preserve"> (por ejemplo en H20):</w:t>
      </w:r>
      <w:r/>
      <w:r>
        <w:br/>
      </w:r>
      <w:r>
        <w:rPr>
          <w:rFonts w:ascii="Courier New" w:hAnsi="Courier New"/>
          <w:sz w:val="18"/>
        </w:rPr>
        <w:t>=SUMA(H2:H12)</w:t>
      </w:r>
    </w:p>
    <w:p>
      <w:pPr>
        <w:pStyle w:val="Heading2"/>
        <w:keepNext/>
        <w:keepLines/>
      </w:pPr>
      <w:r>
        <w:rPr>
          <w:color w:val="0066CC"/>
        </w:rPr>
        <w:t>5. Hoja 4 – ROI de iniciativas ATT&amp;CK‑driven</w:t>
      </w:r>
    </w:p>
    <w:p>
      <w:pPr>
        <w:pStyle w:val="Heading3"/>
        <w:keepNext/>
        <w:keepLines/>
      </w:pPr>
      <w:r>
        <w:t>5.1 Estructura</w:t>
      </w:r>
    </w:p>
    <w:p>
      <w:r>
        <w:t>Por iniciativa (fila):</w:t>
      </w:r>
    </w:p>
    <w:p>
      <w:pPr>
        <w:pStyle w:val="ListBullet"/>
        <w:keepLines w:val="1"/>
        <w:keepNext w:val="1"/>
        <w:widowControl w:val="1"/>
      </w:pPr>
      <w:r>
        <w:t xml:space="preserve">A: ID iniciativa.  </w:t>
      </w:r>
    </w:p>
    <w:p>
      <w:pPr>
        <w:pStyle w:val="ListBullet"/>
        <w:keepLines w:val="1"/>
        <w:keepNext w:val="1"/>
        <w:widowControl w:val="1"/>
      </w:pPr>
      <w:r>
        <w:t xml:space="preserve">B: Nombre (p. ej., “Mejorar cobertura técnicas credenciales sector salud”).  </w:t>
      </w:r>
    </w:p>
    <w:p>
      <w:pPr>
        <w:pStyle w:val="ListBullet"/>
        <w:keepLines w:val="1"/>
        <w:keepNext w:val="1"/>
        <w:widowControl w:val="1"/>
      </w:pPr>
      <w:r>
        <w:t xml:space="preserve">C: Métrica(s) afectada(s) (texto: I2, I3, I6…).  </w:t>
      </w:r>
    </w:p>
    <w:p>
      <w:pPr>
        <w:pStyle w:val="ListBullet"/>
        <w:keepLines w:val="1"/>
        <w:keepNext w:val="1"/>
        <w:widowControl w:val="1"/>
      </w:pPr>
      <w:r>
        <w:t xml:space="preserve">D: IGM antes (promedio ponderado de métricas afectadas).  </w:t>
      </w:r>
    </w:p>
    <w:p>
      <w:pPr>
        <w:pStyle w:val="ListBullet"/>
        <w:keepLines w:val="1"/>
        <w:keepNext w:val="1"/>
        <w:widowControl w:val="1"/>
      </w:pPr>
      <w:r>
        <w:t xml:space="preserve">E: IGM después (estimado / medido tras proyecto).  </w:t>
      </w:r>
    </w:p>
    <w:p>
      <w:pPr>
        <w:pStyle w:val="ListBullet"/>
        <w:keepLines w:val="1"/>
        <w:keepNext w:val="1"/>
        <w:widowControl w:val="1"/>
      </w:pPr>
      <w:r>
        <w:t xml:space="preserve">F: ΔIGM = E – D.  </w:t>
      </w:r>
    </w:p>
    <w:p>
      <w:pPr>
        <w:pStyle w:val="ListBullet"/>
        <w:keepLines w:val="1"/>
        <w:keepNext w:val="1"/>
        <w:widowControl w:val="1"/>
      </w:pPr>
      <w:r>
        <w:t xml:space="preserve">G: RAE antes (Riesgo Anual Esperado, en €).  </w:t>
      </w:r>
    </w:p>
    <w:p>
      <w:pPr>
        <w:pStyle w:val="ListBullet"/>
        <w:keepLines w:val="1"/>
        <w:keepNext w:val="1"/>
        <w:widowControl w:val="1"/>
      </w:pPr>
      <w:r>
        <w:t xml:space="preserve">H: RAE después (est.: aplicando % reducción basado en ΔIGM).  </w:t>
      </w:r>
    </w:p>
    <w:p>
      <w:pPr>
        <w:pStyle w:val="ListBullet"/>
        <w:keepLines w:val="1"/>
        <w:keepNext w:val="1"/>
        <w:widowControl w:val="1"/>
      </w:pPr>
      <w:r>
        <w:t xml:space="preserve">I: Reducción de riesgo = G – H.  </w:t>
      </w:r>
    </w:p>
    <w:p>
      <w:pPr>
        <w:pStyle w:val="ListBullet"/>
        <w:keepLines w:val="1"/>
        <w:keepNext w:val="1"/>
        <w:widowControl w:val="1"/>
      </w:pPr>
      <w:r>
        <w:t xml:space="preserve">J: Coste iniciativa (en €).  </w:t>
      </w:r>
    </w:p>
    <w:p>
      <w:pPr>
        <w:pStyle w:val="ListBullet"/>
        <w:keepLines w:val="1"/>
        <w:widowControl w:val="1"/>
      </w:pPr>
      <w:r>
        <w:t>K: ROI = (I – J) / J.</w:t>
      </w:r>
    </w:p>
    <w:p>
      <w:pPr>
        <w:pStyle w:val="Heading3"/>
        <w:keepNext/>
        <w:keepLines/>
      </w:pPr>
      <w:r>
        <w:t>5.2 Fórmulas ejemplo</w:t>
      </w:r>
    </w:p>
    <w:p>
      <w:pPr>
        <w:pStyle w:val="ListBullet"/>
        <w:keepLines w:val="1"/>
        <w:keepNext w:val="1"/>
        <w:widowControl w:val="1"/>
      </w:pPr>
      <w:r>
        <w:t xml:space="preserve">F2: =E2-D2 </w:t>
      </w:r>
    </w:p>
    <w:p>
      <w:pPr>
        <w:pStyle w:val="ListBullet"/>
        <w:keepLines w:val="1"/>
        <w:keepNext w:val="1"/>
        <w:widowControl w:val="1"/>
      </w:pPr>
      <w:r>
        <w:t xml:space="preserve">I2: =G2-H2 </w:t>
      </w:r>
    </w:p>
    <w:p>
      <w:pPr>
        <w:pStyle w:val="ListBullet"/>
        <w:keepLines w:val="1"/>
        <w:widowControl w:val="1"/>
      </w:pPr>
      <w:r>
        <w:t>K2: =(I2-J2)/J2</w:t>
      </w:r>
    </w:p>
    <w:p>
      <w:r>
        <w:t>La fórmula que relaciona ΔIGM con reducción de RAE será específica de cada país/sector, apoyándose idealmente en datos de incidentes y estudios sectoriales (por ejemplo, distribución de incidentes y costes por táctica en ENISA ETL 2025).[web:66][web:61]</w:t>
      </w:r>
    </w:p>
    <w:p>
      <w:pPr>
        <w:pStyle w:val="Heading2"/>
        <w:keepNext/>
        <w:keepLines/>
      </w:pPr>
      <w:r>
        <w:rPr>
          <w:color w:val="0066CC"/>
        </w:rPr>
        <w:t>6. Hoja 5 – Resumen Ejecutivo</w:t>
      </w:r>
    </w:p>
    <w:p>
      <w:r>
        <w:t>Elementos:</w:t>
      </w:r>
    </w:p>
    <w:p>
      <w:pPr>
        <w:pStyle w:val="ListBullet"/>
        <w:keepLines w:val="1"/>
        <w:keepNext w:val="1"/>
        <w:widowControl w:val="1"/>
      </w:pPr>
      <w:r>
        <w:t>Tabla con:</w:t>
      </w:r>
    </w:p>
    <w:p>
      <w:pPr>
        <w:pStyle w:val="ListBullet"/>
        <w:keepLines w:val="1"/>
        <w:keepNext w:val="1"/>
        <w:widowControl w:val="1"/>
      </w:pPr>
      <w:r>
        <w:t xml:space="preserve">IGM Global.  </w:t>
      </w:r>
    </w:p>
    <w:p>
      <w:pPr>
        <w:pStyle w:val="ListBullet"/>
        <w:keepLines w:val="1"/>
        <w:keepNext w:val="1"/>
        <w:widowControl w:val="1"/>
      </w:pPr>
      <w:r>
        <w:t xml:space="preserve">3–5 métricas con mayor peso combinado.  </w:t>
      </w:r>
    </w:p>
    <w:p>
      <w:pPr>
        <w:pStyle w:val="ListBullet"/>
        <w:keepLines w:val="1"/>
        <w:keepNext w:val="1"/>
        <w:widowControl w:val="1"/>
      </w:pPr>
      <w:r>
        <w:t>Gráfico de barras:</w:t>
      </w:r>
    </w:p>
    <w:p>
      <w:pPr>
        <w:pStyle w:val="ListBullet"/>
        <w:keepLines w:val="1"/>
        <w:keepNext w:val="1"/>
        <w:widowControl w:val="1"/>
      </w:pPr>
      <w:r>
        <w:t xml:space="preserve">Valor actual vs objetivo de métricas clave (I2, I3, I6, I8, I11).  </w:t>
      </w:r>
    </w:p>
    <w:p>
      <w:pPr>
        <w:pStyle w:val="ListBullet"/>
        <w:keepLines w:val="1"/>
        <w:keepNext w:val="1"/>
        <w:widowControl w:val="1"/>
      </w:pPr>
      <w:r>
        <w:t>Gráfico de burbujas:</w:t>
      </w:r>
    </w:p>
    <w:p>
      <w:pPr>
        <w:pStyle w:val="ListBullet"/>
        <w:keepLines w:val="1"/>
        <w:keepNext w:val="1"/>
        <w:widowControl w:val="1"/>
      </w:pPr>
      <w:r>
        <w:t xml:space="preserve">Eje X: Peso combinado GQM+PRAGMATIC.  </w:t>
      </w:r>
    </w:p>
    <w:p>
      <w:pPr>
        <w:pStyle w:val="ListBullet"/>
        <w:keepLines w:val="1"/>
        <w:keepNext w:val="1"/>
        <w:widowControl w:val="1"/>
      </w:pPr>
      <w:r>
        <w:t xml:space="preserve">Eje Y: Brecha (objetivo – actual).  </w:t>
      </w:r>
    </w:p>
    <w:p>
      <w:pPr>
        <w:pStyle w:val="ListBullet"/>
        <w:keepLines w:val="1"/>
        <w:widowControl w:val="1"/>
      </w:pPr>
      <w:r>
        <w:t>Tamaño burbuja: coste estimado de mejora.</w:t>
      </w:r>
    </w:p>
    <w:p>
      <w:r>
        <w:t>Esta hoja sirve de base visual para el reporte ejecutivo.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